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9454" w14:textId="77777777" w:rsidR="000042C2" w:rsidRPr="008C6347" w:rsidRDefault="000042C2" w:rsidP="00004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0591C00" w14:textId="77777777" w:rsidR="000042C2" w:rsidRPr="008C6347" w:rsidRDefault="000042C2" w:rsidP="00004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59422C3" w14:textId="77777777" w:rsidR="000042C2" w:rsidRPr="008C6347" w:rsidRDefault="000042C2" w:rsidP="00004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ЛОМОНОСОВСКИЙ</w:t>
      </w:r>
    </w:p>
    <w:p w14:paraId="2F0668DC" w14:textId="77777777" w:rsidR="000042C2" w:rsidRPr="008C6347" w:rsidRDefault="000042C2" w:rsidP="000042C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3F1877B" w14:textId="77777777" w:rsidR="000042C2" w:rsidRPr="008C6347" w:rsidRDefault="000042C2" w:rsidP="000042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34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3E73F12" w14:textId="77777777" w:rsidR="000042C2" w:rsidRPr="008C6347" w:rsidRDefault="000042C2" w:rsidP="00004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B50A8" w14:textId="77777777" w:rsidR="000042C2" w:rsidRPr="008C6347" w:rsidRDefault="000042C2" w:rsidP="00004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марта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 xml:space="preserve"> год        №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</w:p>
    <w:p w14:paraId="050222F0" w14:textId="77777777" w:rsidR="000042C2" w:rsidRPr="008C6347" w:rsidRDefault="000042C2" w:rsidP="000042C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0042C2" w:rsidRPr="00C22B80" w14:paraId="71E15699" w14:textId="77777777" w:rsidTr="00A71D9B">
        <w:trPr>
          <w:trHeight w:val="2261"/>
        </w:trPr>
        <w:tc>
          <w:tcPr>
            <w:tcW w:w="4678" w:type="dxa"/>
          </w:tcPr>
          <w:p w14:paraId="3E0305DD" w14:textId="77777777" w:rsidR="000042C2" w:rsidRPr="00C22B80" w:rsidRDefault="000042C2" w:rsidP="00A71D9B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C22B80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</w:t>
            </w:r>
            <w:r>
              <w:rPr>
                <w:i w:val="0"/>
                <w:sz w:val="24"/>
                <w:szCs w:val="24"/>
              </w:rPr>
              <w:t xml:space="preserve">экономии </w:t>
            </w:r>
            <w:r w:rsidRPr="00C22B80">
              <w:rPr>
                <w:i w:val="0"/>
                <w:sz w:val="24"/>
                <w:szCs w:val="24"/>
              </w:rPr>
              <w:t>стимулирования управы Ломоносовского района 2021 года</w:t>
            </w:r>
          </w:p>
          <w:p w14:paraId="1504BD5D" w14:textId="77777777" w:rsidR="000042C2" w:rsidRPr="00C22B80" w:rsidRDefault="000042C2" w:rsidP="00A71D9B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C4262A" w14:textId="77777777" w:rsidR="000042C2" w:rsidRPr="003335CC" w:rsidRDefault="000042C2" w:rsidP="000042C2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10 марта 2023 года №ЛО-22-12/3, поступившее в Совет депутатов муниципального округа Ломоносовский 10 марта 2023 года, </w:t>
      </w: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BF8F964" w14:textId="77777777" w:rsidR="000042C2" w:rsidRPr="008C6347" w:rsidRDefault="000042C2" w:rsidP="000042C2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16"/>
          <w:szCs w:val="16"/>
        </w:rPr>
      </w:pPr>
    </w:p>
    <w:p w14:paraId="59844CF7" w14:textId="77777777" w:rsidR="000042C2" w:rsidRPr="008C6347" w:rsidRDefault="000042C2" w:rsidP="000042C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</w:t>
      </w:r>
      <w:r>
        <w:rPr>
          <w:b w:val="0"/>
          <w:bCs w:val="0"/>
          <w:i w:val="0"/>
          <w:iCs w:val="0"/>
        </w:rPr>
        <w:t xml:space="preserve">экономии </w:t>
      </w:r>
      <w:r w:rsidRPr="008C6347">
        <w:rPr>
          <w:b w:val="0"/>
          <w:bCs w:val="0"/>
          <w:i w:val="0"/>
          <w:iCs w:val="0"/>
        </w:rPr>
        <w:t xml:space="preserve">средств стимулирования управы Ломоносовского района 2021 года согласно приложению к настоящему решению. </w:t>
      </w:r>
    </w:p>
    <w:p w14:paraId="43897F30" w14:textId="77777777" w:rsidR="000042C2" w:rsidRPr="008C6347" w:rsidRDefault="000042C2" w:rsidP="000042C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0CE13E04" w14:textId="77777777" w:rsidR="000042C2" w:rsidRPr="008C6347" w:rsidRDefault="000042C2" w:rsidP="000042C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3814D04F" w14:textId="77777777" w:rsidR="000042C2" w:rsidRPr="008C6347" w:rsidRDefault="000042C2" w:rsidP="000042C2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11882AAA" w14:textId="77777777" w:rsidR="000042C2" w:rsidRPr="008C6347" w:rsidRDefault="000042C2" w:rsidP="000042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96592" w14:textId="77777777" w:rsidR="000042C2" w:rsidRPr="008C6347" w:rsidRDefault="000042C2" w:rsidP="000042C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421A5327" w14:textId="77777777" w:rsidR="000042C2" w:rsidRPr="008C6347" w:rsidRDefault="000042C2" w:rsidP="000042C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06F4D317" w14:textId="77777777" w:rsidR="000042C2" w:rsidRPr="008C6347" w:rsidRDefault="000042C2" w:rsidP="000042C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7952DD9D" w14:textId="77777777" w:rsidR="000042C2" w:rsidRPr="008C6347" w:rsidRDefault="000042C2" w:rsidP="000042C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0042C2" w:rsidRPr="008C6347" w:rsidSect="00211AB3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14:paraId="7B0CBC14" w14:textId="77777777" w:rsidR="000042C2" w:rsidRDefault="000042C2" w:rsidP="000042C2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329848C6" w14:textId="77777777" w:rsidR="000042C2" w:rsidRDefault="000042C2" w:rsidP="000042C2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172C9100" w14:textId="77777777" w:rsidR="000042C2" w:rsidRDefault="000042C2" w:rsidP="000042C2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23C361E7" w14:textId="77777777" w:rsidR="000042C2" w:rsidRDefault="000042C2" w:rsidP="000042C2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198F978A" w14:textId="77777777" w:rsidR="000042C2" w:rsidRDefault="000042C2" w:rsidP="000042C2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34B53A96" w14:textId="77777777" w:rsidR="000042C2" w:rsidRPr="008C6347" w:rsidRDefault="000042C2" w:rsidP="000042C2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279561D6" w14:textId="77777777" w:rsidR="000042C2" w:rsidRPr="008C6347" w:rsidRDefault="000042C2" w:rsidP="000042C2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 xml:space="preserve">Приложение </w:t>
      </w:r>
    </w:p>
    <w:p w14:paraId="28D72450" w14:textId="77777777" w:rsidR="000042C2" w:rsidRPr="008C6347" w:rsidRDefault="000042C2" w:rsidP="000042C2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lastRenderedPageBreak/>
        <w:t>к решению Совета депутатов</w:t>
      </w:r>
    </w:p>
    <w:p w14:paraId="6098D52C" w14:textId="77777777" w:rsidR="000042C2" w:rsidRPr="008C6347" w:rsidRDefault="000042C2" w:rsidP="000042C2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6236D718" w14:textId="77777777" w:rsidR="000042C2" w:rsidRPr="008C6347" w:rsidRDefault="000042C2" w:rsidP="000042C2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марта 2023</w:t>
      </w:r>
      <w:r w:rsidRPr="008C634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13</w:t>
      </w:r>
      <w:r w:rsidRPr="008C634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</w:p>
    <w:p w14:paraId="6CE692F3" w14:textId="77777777" w:rsidR="000042C2" w:rsidRPr="008C6347" w:rsidRDefault="000042C2" w:rsidP="00004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A06F4F" w14:textId="77777777" w:rsidR="000042C2" w:rsidRPr="008C6347" w:rsidRDefault="000042C2" w:rsidP="000042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</w:t>
      </w:r>
      <w:r w:rsidRPr="00D458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экономии </w:t>
      </w:r>
      <w:r w:rsidRPr="00D458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 стимулирования управ районов 2021 год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 </w:t>
      </w:r>
    </w:p>
    <w:p w14:paraId="79DB0D6D" w14:textId="77777777" w:rsidR="000042C2" w:rsidRPr="00646DD3" w:rsidRDefault="000042C2" w:rsidP="000042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410"/>
        <w:gridCol w:w="1711"/>
        <w:gridCol w:w="1694"/>
        <w:gridCol w:w="1695"/>
        <w:gridCol w:w="1699"/>
      </w:tblGrid>
      <w:tr w:rsidR="000042C2" w:rsidRPr="001D288A" w14:paraId="12E0BD64" w14:textId="77777777" w:rsidTr="00A71D9B">
        <w:tc>
          <w:tcPr>
            <w:tcW w:w="985" w:type="dxa"/>
          </w:tcPr>
          <w:p w14:paraId="639F05BB" w14:textId="77777777" w:rsidR="000042C2" w:rsidRPr="001D288A" w:rsidRDefault="000042C2" w:rsidP="00A71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66ABCFF1" w14:textId="77777777" w:rsidR="000042C2" w:rsidRPr="001D288A" w:rsidRDefault="000042C2" w:rsidP="00A71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благоустройства</w:t>
            </w:r>
          </w:p>
        </w:tc>
        <w:tc>
          <w:tcPr>
            <w:tcW w:w="1711" w:type="dxa"/>
          </w:tcPr>
          <w:p w14:paraId="685537CD" w14:textId="77777777" w:rsidR="000042C2" w:rsidRPr="001D288A" w:rsidRDefault="000042C2" w:rsidP="00A71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94" w:type="dxa"/>
          </w:tcPr>
          <w:p w14:paraId="284A98DA" w14:textId="77777777" w:rsidR="000042C2" w:rsidRPr="001D288A" w:rsidRDefault="000042C2" w:rsidP="00A71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Ед. изм</w:t>
            </w:r>
          </w:p>
        </w:tc>
        <w:tc>
          <w:tcPr>
            <w:tcW w:w="1695" w:type="dxa"/>
          </w:tcPr>
          <w:p w14:paraId="50D6B3D1" w14:textId="77777777" w:rsidR="000042C2" w:rsidRPr="001D288A" w:rsidRDefault="000042C2" w:rsidP="00A71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699" w:type="dxa"/>
          </w:tcPr>
          <w:p w14:paraId="57BD43D9" w14:textId="77777777" w:rsidR="000042C2" w:rsidRPr="001D288A" w:rsidRDefault="000042C2" w:rsidP="00A71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Стоимость, руб.</w:t>
            </w:r>
          </w:p>
        </w:tc>
      </w:tr>
      <w:tr w:rsidR="000042C2" w14:paraId="53BDBB98" w14:textId="77777777" w:rsidTr="00A71D9B">
        <w:tc>
          <w:tcPr>
            <w:tcW w:w="985" w:type="dxa"/>
          </w:tcPr>
          <w:p w14:paraId="52CE6BD6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40BC7A8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района</w:t>
            </w:r>
          </w:p>
        </w:tc>
        <w:tc>
          <w:tcPr>
            <w:tcW w:w="1711" w:type="dxa"/>
          </w:tcPr>
          <w:p w14:paraId="62F76CD8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почвогрунта</w:t>
            </w:r>
            <w:proofErr w:type="spellEnd"/>
          </w:p>
        </w:tc>
        <w:tc>
          <w:tcPr>
            <w:tcW w:w="1694" w:type="dxa"/>
          </w:tcPr>
          <w:p w14:paraId="49177B20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14:paraId="24DB609B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1699" w:type="dxa"/>
          </w:tcPr>
          <w:p w14:paraId="0F15D5F4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1 637 880</w:t>
            </w:r>
          </w:p>
        </w:tc>
      </w:tr>
      <w:tr w:rsidR="000042C2" w14:paraId="001809B1" w14:textId="77777777" w:rsidTr="00A71D9B">
        <w:tc>
          <w:tcPr>
            <w:tcW w:w="985" w:type="dxa"/>
            <w:tcBorders>
              <w:bottom w:val="single" w:sz="4" w:space="0" w:color="auto"/>
            </w:tcBorders>
          </w:tcPr>
          <w:p w14:paraId="30D29AC6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886EA1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района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F08E203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Поставка семян газонных трав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2D390E4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596A41C9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699" w:type="dxa"/>
          </w:tcPr>
          <w:p w14:paraId="5C6A9662" w14:textId="77777777" w:rsidR="000042C2" w:rsidRDefault="000042C2" w:rsidP="00A7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195 000</w:t>
            </w:r>
          </w:p>
        </w:tc>
      </w:tr>
      <w:tr w:rsidR="000042C2" w14:paraId="6D8A1C86" w14:textId="77777777" w:rsidTr="00A71D9B">
        <w:tc>
          <w:tcPr>
            <w:tcW w:w="8495" w:type="dxa"/>
            <w:gridSpan w:val="5"/>
            <w:tcBorders>
              <w:left w:val="nil"/>
              <w:bottom w:val="nil"/>
            </w:tcBorders>
          </w:tcPr>
          <w:p w14:paraId="353887D8" w14:textId="77777777" w:rsidR="000042C2" w:rsidRDefault="000042C2" w:rsidP="00A71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54C03A51" w14:textId="77777777" w:rsidR="000042C2" w:rsidRPr="008A2F7B" w:rsidRDefault="000042C2" w:rsidP="00A71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F7B">
              <w:rPr>
                <w:rFonts w:ascii="Times New Roman" w:hAnsi="Times New Roman"/>
                <w:b/>
                <w:bCs/>
                <w:sz w:val="28"/>
                <w:szCs w:val="28"/>
              </w:rPr>
              <w:t>1 832 880</w:t>
            </w:r>
          </w:p>
        </w:tc>
      </w:tr>
    </w:tbl>
    <w:p w14:paraId="66753E7B" w14:textId="77777777" w:rsidR="000042C2" w:rsidRPr="001D288A" w:rsidRDefault="000042C2" w:rsidP="000042C2">
      <w:pPr>
        <w:rPr>
          <w:rFonts w:ascii="Times New Roman" w:hAnsi="Times New Roman"/>
          <w:sz w:val="28"/>
          <w:szCs w:val="28"/>
        </w:rPr>
      </w:pPr>
    </w:p>
    <w:p w14:paraId="317DB4D4" w14:textId="77777777" w:rsidR="00806989" w:rsidRDefault="00806989"/>
    <w:sectPr w:rsidR="00806989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843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C2"/>
    <w:rsid w:val="000042C2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1AD9"/>
  <w15:chartTrackingRefBased/>
  <w15:docId w15:val="{30B8D16A-15BF-4EC6-939A-1E8A53F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2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00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2023-03-15T09:04:00Z</dcterms:created>
  <dcterms:modified xsi:type="dcterms:W3CDTF">2023-03-15T09:05:00Z</dcterms:modified>
</cp:coreProperties>
</file>