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5B2A" w14:textId="77777777" w:rsidR="007F11D8" w:rsidRPr="00BC12D7" w:rsidRDefault="007F11D8" w:rsidP="007F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33933F3" w14:textId="77777777" w:rsidR="007F11D8" w:rsidRPr="00BC12D7" w:rsidRDefault="007F11D8" w:rsidP="007F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348AB503" w14:textId="77777777" w:rsidR="007F11D8" w:rsidRPr="00BC12D7" w:rsidRDefault="007F11D8" w:rsidP="007F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ЛОМОНОСОВСКИЙ</w:t>
      </w:r>
    </w:p>
    <w:p w14:paraId="484F15B9" w14:textId="77777777" w:rsidR="007F11D8" w:rsidRPr="00BC12D7" w:rsidRDefault="007F11D8" w:rsidP="007F1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0127AF" w14:textId="77777777" w:rsidR="007F11D8" w:rsidRPr="00BC12D7" w:rsidRDefault="007F11D8" w:rsidP="007F1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2D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05C375F" w14:textId="77777777" w:rsidR="007F11D8" w:rsidRPr="00BC12D7" w:rsidRDefault="007F11D8" w:rsidP="007F1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C50655" w14:textId="77777777" w:rsidR="007F11D8" w:rsidRPr="00BC12D7" w:rsidRDefault="007F11D8" w:rsidP="007F1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ноября 2022 год        № 06/1</w:t>
      </w:r>
    </w:p>
    <w:p w14:paraId="2D90EE61" w14:textId="77777777" w:rsidR="007F11D8" w:rsidRPr="00BC12D7" w:rsidRDefault="007F11D8" w:rsidP="007F11D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7F11D8" w:rsidRPr="00964A05" w14:paraId="2F5D6DD3" w14:textId="77777777" w:rsidTr="002C3B94">
        <w:trPr>
          <w:trHeight w:val="2261"/>
        </w:trPr>
        <w:tc>
          <w:tcPr>
            <w:tcW w:w="4678" w:type="dxa"/>
          </w:tcPr>
          <w:p w14:paraId="2C15D0B0" w14:textId="77777777" w:rsidR="007F11D8" w:rsidRPr="00964A05" w:rsidRDefault="007F11D8" w:rsidP="002C3B94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964A05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      </w:r>
            <w:r>
              <w:rPr>
                <w:i w:val="0"/>
                <w:sz w:val="24"/>
                <w:szCs w:val="24"/>
              </w:rPr>
              <w:t>остатков</w:t>
            </w:r>
            <w:r w:rsidRPr="00964A05">
              <w:rPr>
                <w:i w:val="0"/>
                <w:sz w:val="24"/>
                <w:szCs w:val="24"/>
              </w:rPr>
              <w:t xml:space="preserve"> средств</w:t>
            </w:r>
            <w:r>
              <w:rPr>
                <w:i w:val="0"/>
                <w:sz w:val="24"/>
                <w:szCs w:val="24"/>
              </w:rPr>
              <w:t xml:space="preserve"> стимулирования управы Ломоносовского района </w:t>
            </w:r>
            <w:r w:rsidRPr="00964A05">
              <w:rPr>
                <w:i w:val="0"/>
                <w:sz w:val="24"/>
                <w:szCs w:val="24"/>
              </w:rPr>
              <w:t>202</w:t>
            </w:r>
            <w:r>
              <w:rPr>
                <w:i w:val="0"/>
                <w:sz w:val="24"/>
                <w:szCs w:val="24"/>
              </w:rPr>
              <w:t>2</w:t>
            </w:r>
            <w:r w:rsidRPr="00964A05">
              <w:rPr>
                <w:i w:val="0"/>
                <w:sz w:val="24"/>
                <w:szCs w:val="24"/>
              </w:rPr>
              <w:t xml:space="preserve"> год</w:t>
            </w:r>
            <w:r>
              <w:rPr>
                <w:i w:val="0"/>
                <w:sz w:val="24"/>
                <w:szCs w:val="24"/>
              </w:rPr>
              <w:t>а</w:t>
            </w:r>
          </w:p>
          <w:p w14:paraId="5BF3B46C" w14:textId="77777777" w:rsidR="007F11D8" w:rsidRPr="00964A05" w:rsidRDefault="007F11D8" w:rsidP="002C3B94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4B0248" w14:textId="77777777" w:rsidR="007F11D8" w:rsidRDefault="007F11D8" w:rsidP="007F11D8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обращением управы </w:t>
      </w:r>
      <w:r>
        <w:rPr>
          <w:rFonts w:ascii="Times New Roman" w:hAnsi="Times New Roman"/>
          <w:sz w:val="28"/>
          <w:szCs w:val="28"/>
        </w:rPr>
        <w:t xml:space="preserve">Ломоносовского </w:t>
      </w:r>
      <w:r w:rsidRPr="00410769">
        <w:rPr>
          <w:rFonts w:ascii="Times New Roman" w:hAnsi="Times New Roman"/>
          <w:sz w:val="28"/>
          <w:szCs w:val="28"/>
        </w:rPr>
        <w:t>района города Москвы от</w:t>
      </w:r>
      <w:r>
        <w:rPr>
          <w:rFonts w:ascii="Times New Roman" w:hAnsi="Times New Roman"/>
          <w:sz w:val="28"/>
          <w:szCs w:val="28"/>
        </w:rPr>
        <w:t xml:space="preserve"> 23 ноября 2022 года №ЛО-08-1037/2, </w:t>
      </w: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A35AB4" w14:textId="77777777" w:rsidR="007F11D8" w:rsidRDefault="007F11D8" w:rsidP="007F11D8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2BDB5700" w14:textId="77777777" w:rsidR="007F11D8" w:rsidRPr="005E7CBB" w:rsidRDefault="007F11D8" w:rsidP="007F11D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964A05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</w:r>
      <w:r>
        <w:rPr>
          <w:b w:val="0"/>
          <w:bCs w:val="0"/>
          <w:i w:val="0"/>
          <w:iCs w:val="0"/>
        </w:rPr>
        <w:t xml:space="preserve">остатков </w:t>
      </w:r>
      <w:r w:rsidRPr="00964A05">
        <w:rPr>
          <w:b w:val="0"/>
          <w:bCs w:val="0"/>
          <w:i w:val="0"/>
          <w:iCs w:val="0"/>
        </w:rPr>
        <w:t>средств</w:t>
      </w:r>
      <w:r>
        <w:rPr>
          <w:b w:val="0"/>
          <w:bCs w:val="0"/>
          <w:i w:val="0"/>
          <w:iCs w:val="0"/>
        </w:rPr>
        <w:t xml:space="preserve"> стимулирования управы Ломоносовского района </w:t>
      </w:r>
      <w:r w:rsidRPr="00964A05">
        <w:rPr>
          <w:b w:val="0"/>
          <w:bCs w:val="0"/>
          <w:i w:val="0"/>
          <w:iCs w:val="0"/>
        </w:rPr>
        <w:t>202</w:t>
      </w:r>
      <w:r>
        <w:rPr>
          <w:b w:val="0"/>
          <w:bCs w:val="0"/>
          <w:i w:val="0"/>
          <w:iCs w:val="0"/>
        </w:rPr>
        <w:t>2</w:t>
      </w:r>
      <w:r w:rsidRPr="00964A05">
        <w:rPr>
          <w:b w:val="0"/>
          <w:bCs w:val="0"/>
          <w:i w:val="0"/>
          <w:iCs w:val="0"/>
        </w:rPr>
        <w:t xml:space="preserve"> год</w:t>
      </w:r>
      <w:r>
        <w:rPr>
          <w:b w:val="0"/>
          <w:bCs w:val="0"/>
          <w:i w:val="0"/>
          <w:iCs w:val="0"/>
        </w:rPr>
        <w:t xml:space="preserve">а согласно приложению к настоящему решению. </w:t>
      </w:r>
    </w:p>
    <w:p w14:paraId="18A569E7" w14:textId="77777777" w:rsidR="007F11D8" w:rsidRDefault="007F11D8" w:rsidP="007F11D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</w:t>
      </w:r>
      <w:r>
        <w:rPr>
          <w:b w:val="0"/>
          <w:bCs w:val="0"/>
          <w:i w:val="0"/>
          <w:iCs w:val="0"/>
        </w:rPr>
        <w:t xml:space="preserve"> </w:t>
      </w:r>
    </w:p>
    <w:p w14:paraId="1CDC80A9" w14:textId="77777777" w:rsidR="007F11D8" w:rsidRDefault="007F11D8" w:rsidP="007F11D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  <w:r>
        <w:rPr>
          <w:b w:val="0"/>
          <w:bCs w:val="0"/>
          <w:i w:val="0"/>
          <w:iCs w:val="0"/>
        </w:rPr>
        <w:t xml:space="preserve"> </w:t>
      </w:r>
    </w:p>
    <w:p w14:paraId="5240A0A5" w14:textId="77777777" w:rsidR="007F11D8" w:rsidRPr="00776E80" w:rsidRDefault="007F11D8" w:rsidP="007F11D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145FBE33" w14:textId="77777777" w:rsidR="007F11D8" w:rsidRPr="00A17081" w:rsidRDefault="007F11D8" w:rsidP="007F11D8">
      <w:pPr>
        <w:ind w:firstLine="709"/>
        <w:jc w:val="both"/>
        <w:rPr>
          <w:sz w:val="28"/>
          <w:szCs w:val="28"/>
        </w:rPr>
      </w:pPr>
    </w:p>
    <w:p w14:paraId="38105F5A" w14:textId="77777777" w:rsidR="007F11D8" w:rsidRPr="00BC12D7" w:rsidRDefault="007F11D8" w:rsidP="007F11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726DBB5" w14:textId="77777777" w:rsidR="007F11D8" w:rsidRPr="00964A05" w:rsidRDefault="007F11D8" w:rsidP="007F11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58C78AB1" w14:textId="77777777" w:rsidR="007F11D8" w:rsidRDefault="007F11D8" w:rsidP="007F11D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7A207D44" w14:textId="77777777" w:rsidR="007F11D8" w:rsidRDefault="007F11D8" w:rsidP="007F11D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7F11D8" w:rsidSect="005426F9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13DBA1A1" w14:textId="77777777" w:rsidR="00663ACF" w:rsidRPr="00162761" w:rsidRDefault="00663ACF" w:rsidP="00663AC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E121439" w14:textId="77777777" w:rsidR="0067734F" w:rsidRDefault="0067734F" w:rsidP="0067734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769EC05F" w14:textId="77777777" w:rsidR="0067734F" w:rsidRDefault="0067734F" w:rsidP="0067734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46EB68" w14:textId="77777777" w:rsidR="0067734F" w:rsidRDefault="0067734F" w:rsidP="0067734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12C1C808" w14:textId="77777777" w:rsidR="0067734F" w:rsidRDefault="0067734F" w:rsidP="0067734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2022 года № 06/1</w:t>
      </w:r>
    </w:p>
    <w:p w14:paraId="2F2386D1" w14:textId="77777777" w:rsidR="0067734F" w:rsidRDefault="0067734F" w:rsidP="0067734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5" w:type="dxa"/>
        <w:tblLayout w:type="fixed"/>
        <w:tblLook w:val="04A0" w:firstRow="1" w:lastRow="0" w:firstColumn="1" w:lastColumn="0" w:noHBand="0" w:noVBand="1"/>
      </w:tblPr>
      <w:tblGrid>
        <w:gridCol w:w="561"/>
        <w:gridCol w:w="3261"/>
        <w:gridCol w:w="6094"/>
        <w:gridCol w:w="1701"/>
        <w:gridCol w:w="1559"/>
        <w:gridCol w:w="1989"/>
      </w:tblGrid>
      <w:tr w:rsidR="0067734F" w14:paraId="2EC5EF0A" w14:textId="77777777" w:rsidTr="0067734F">
        <w:trPr>
          <w:trHeight w:val="807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C45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территории Ломоносовского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 города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Москвы за счет средств стимулирования </w:t>
            </w:r>
          </w:p>
          <w:p w14:paraId="3C33EAD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управы Ломоносовского района 2022 года</w:t>
            </w:r>
          </w:p>
        </w:tc>
      </w:tr>
      <w:tr w:rsidR="0067734F" w14:paraId="7E748168" w14:textId="77777777" w:rsidTr="0067734F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00DE6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2465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благоустройства</w:t>
            </w:r>
          </w:p>
          <w:p w14:paraId="13CB09A4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8EF9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E1B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BAE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FA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ПЛАН</w:t>
            </w:r>
          </w:p>
        </w:tc>
      </w:tr>
      <w:tr w:rsidR="0067734F" w14:paraId="05E38F0F" w14:textId="77777777" w:rsidTr="0067734F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6785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3328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Кравченко, д. 10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ул. Кравченко, д. 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Ленинский пр-т, д. 90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Ленинский пр-т, д. 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Кравченко, д. 4 корп.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Ленинский пр-т, </w:t>
            </w:r>
          </w:p>
          <w:p w14:paraId="75045733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88 корп. 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Ленинский пр-т,</w:t>
            </w:r>
          </w:p>
          <w:p w14:paraId="42923F48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88 корп. 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ул. Кравченко, д. 8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27B74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0A3A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1AEE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D75C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4 949 164,38</w:t>
            </w:r>
          </w:p>
        </w:tc>
      </w:tr>
      <w:tr w:rsidR="0067734F" w14:paraId="47E0487E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F37E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CF5C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FEB2B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614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65B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FF69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15 526 153,39</w:t>
            </w:r>
          </w:p>
        </w:tc>
      </w:tr>
      <w:tr w:rsidR="0067734F" w14:paraId="67451FB7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F29A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B5D7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8E647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АБП дорожно-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и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7153A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06F8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3B14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3 609 971,95</w:t>
            </w:r>
          </w:p>
        </w:tc>
      </w:tr>
      <w:tr w:rsidR="0067734F" w14:paraId="0A6136F1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AB2F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2602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0DED6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АБП дорожно-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и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95D9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AB6E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36FB4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8 603 555,38</w:t>
            </w:r>
          </w:p>
        </w:tc>
      </w:tr>
      <w:tr w:rsidR="0067734F" w14:paraId="2528774D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7A44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5DD0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EFF9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искусственной травы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1DD3A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D5A2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8058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1 917 084,27</w:t>
            </w:r>
          </w:p>
        </w:tc>
      </w:tr>
      <w:tr w:rsidR="0067734F" w14:paraId="0B2A8462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9BD1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6868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D428F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резинового покрытия на искусственную траву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4D8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FC0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4750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5 218 306,99</w:t>
            </w:r>
          </w:p>
        </w:tc>
      </w:tr>
      <w:tr w:rsidR="0067734F" w14:paraId="5F667205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5F8B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F3D53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06D4D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DD5C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EC9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1B27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7 963 186,05</w:t>
            </w:r>
          </w:p>
        </w:tc>
      </w:tr>
      <w:tr w:rsidR="0067734F" w14:paraId="048A1F52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1543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9751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EA82A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0D66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0076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772C1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9 546 428,42</w:t>
            </w:r>
          </w:p>
        </w:tc>
      </w:tr>
      <w:tr w:rsidR="0067734F" w14:paraId="42C0DD62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5206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83B9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53E59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 с компенсатором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DCF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9882,312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84B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34A9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13 116 761,92</w:t>
            </w:r>
          </w:p>
        </w:tc>
      </w:tr>
      <w:tr w:rsidR="0067734F" w14:paraId="0E5AE8D2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D5F6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3BA6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71DC2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55C6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4C8C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5281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5 591 089,63</w:t>
            </w:r>
          </w:p>
        </w:tc>
      </w:tr>
      <w:tr w:rsidR="0067734F" w14:paraId="1F2AEC7A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7E7B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0563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A4C21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подпорных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76B6C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B7B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7114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622 134,34</w:t>
            </w:r>
          </w:p>
        </w:tc>
      </w:tr>
      <w:tr w:rsidR="0067734F" w14:paraId="722BCD15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C07D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FC7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0735C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68A1B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70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43E02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589 438,64</w:t>
            </w:r>
          </w:p>
        </w:tc>
      </w:tr>
      <w:tr w:rsidR="0067734F" w14:paraId="37543FFD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904C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7C37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52432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6051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C83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8FB6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4 427 657,36</w:t>
            </w:r>
          </w:p>
        </w:tc>
      </w:tr>
      <w:tr w:rsidR="0067734F" w14:paraId="44FC5BAD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A4F4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E887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84C3F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Комплектующие к детским и спортивным МАФ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1F87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8097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0F00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8 067 591,07</w:t>
            </w:r>
          </w:p>
        </w:tc>
      </w:tr>
      <w:tr w:rsidR="0067734F" w14:paraId="420D52F9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C3F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62E8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425D7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ограждений (2,5 м. высота)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C6E7D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92E4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1ABC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380 186,40</w:t>
            </w:r>
          </w:p>
        </w:tc>
      </w:tr>
      <w:tr w:rsidR="0067734F" w14:paraId="1988152F" w14:textId="77777777" w:rsidTr="0067734F">
        <w:trPr>
          <w:trHeight w:val="36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E889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8D96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987B6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(ПСД и установка опор)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313F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FE4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DC6FF" w14:textId="77777777" w:rsidR="0067734F" w:rsidRDefault="006773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14 763 653,41</w:t>
            </w:r>
          </w:p>
        </w:tc>
      </w:tr>
      <w:tr w:rsidR="0067734F" w14:paraId="64BA32E5" w14:textId="77777777" w:rsidTr="0067734F">
        <w:trPr>
          <w:trHeight w:val="450"/>
        </w:trPr>
        <w:tc>
          <w:tcPr>
            <w:tcW w:w="15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58CF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C18A" w14:textId="77777777" w:rsidR="0067734F" w:rsidRDefault="0067734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5716B" w14:textId="77777777" w:rsidR="0067734F" w:rsidRDefault="00677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D0F1C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54C1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30B4" w14:textId="77777777" w:rsidR="0067734F" w:rsidRDefault="00677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104 892 363,6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4C38D886" w14:textId="77777777" w:rsidR="00806989" w:rsidRDefault="00806989"/>
    <w:sectPr w:rsidR="00806989" w:rsidSect="00BC12D7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D8"/>
    <w:rsid w:val="00663ACF"/>
    <w:rsid w:val="0067734F"/>
    <w:rsid w:val="007F11D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B94C"/>
  <w15:chartTrackingRefBased/>
  <w15:docId w15:val="{CEDB130E-A3C4-47DF-BBAB-8C3E1C2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1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2022-11-24T14:04:00Z</dcterms:created>
  <dcterms:modified xsi:type="dcterms:W3CDTF">2022-11-28T13:49:00Z</dcterms:modified>
</cp:coreProperties>
</file>