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8361" w14:textId="77777777" w:rsidR="00C25DED" w:rsidRDefault="00C25DED" w:rsidP="00C25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08DDECBE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</w:t>
      </w:r>
      <w:r w:rsidRPr="00B64CE0">
        <w:rPr>
          <w:rFonts w:ascii="Times New Roman" w:hAnsi="Times New Roman"/>
          <w:sz w:val="28"/>
          <w:szCs w:val="28"/>
        </w:rPr>
        <w:t xml:space="preserve">ДЕПУТАТОВ </w:t>
      </w:r>
    </w:p>
    <w:p w14:paraId="44CFF9F5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79B50A09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>ЛОМОНОСОВСКИЙ</w:t>
      </w:r>
    </w:p>
    <w:p w14:paraId="314EF9E6" w14:textId="77777777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DD5C57F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B64CE0">
        <w:rPr>
          <w:rFonts w:ascii="Times New Roman" w:hAnsi="Times New Roman"/>
          <w:bCs/>
          <w:sz w:val="26"/>
          <w:szCs w:val="26"/>
        </w:rPr>
        <w:t>РЕШЕНИЕ</w:t>
      </w:r>
    </w:p>
    <w:p w14:paraId="4D0663EA" w14:textId="16F7B909" w:rsidR="00C25DED" w:rsidRPr="00B64CE0" w:rsidRDefault="005B6502" w:rsidP="00C25D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24 мая </w:t>
      </w:r>
      <w:r w:rsidR="00C25DED">
        <w:rPr>
          <w:rFonts w:ascii="Times New Roman" w:hAnsi="Times New Roman"/>
          <w:b/>
          <w:sz w:val="28"/>
          <w:szCs w:val="28"/>
          <w:u w:val="single"/>
        </w:rPr>
        <w:t>2022</w:t>
      </w:r>
      <w:r w:rsidR="00C25DED"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>
        <w:rPr>
          <w:rFonts w:ascii="Times New Roman" w:hAnsi="Times New Roman"/>
          <w:b/>
          <w:sz w:val="28"/>
          <w:szCs w:val="28"/>
          <w:u w:val="single"/>
        </w:rPr>
        <w:t>85/14</w:t>
      </w:r>
    </w:p>
    <w:p w14:paraId="0933EC7E" w14:textId="77777777" w:rsidR="00C25DED" w:rsidRPr="003E6EB6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2804412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643D1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32D1A9A2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>Ломоносовского района города Москвы в 202</w:t>
      </w:r>
      <w:r>
        <w:rPr>
          <w:rFonts w:ascii="Times New Roman" w:hAnsi="Times New Roman"/>
          <w:b/>
          <w:sz w:val="24"/>
          <w:szCs w:val="24"/>
        </w:rPr>
        <w:t>2</w:t>
      </w:r>
      <w:r w:rsidRPr="00B64CE0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30657642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F76839D" w14:textId="572C4F8F" w:rsidR="00C25DED" w:rsidRPr="003E6EB6" w:rsidRDefault="00C25DED" w:rsidP="00C25DED">
      <w:pPr>
        <w:pStyle w:val="a3"/>
        <w:ind w:firstLine="360"/>
        <w:rPr>
          <w:sz w:val="26"/>
          <w:szCs w:val="26"/>
        </w:rPr>
      </w:pPr>
      <w:r>
        <w:rPr>
          <w:color w:val="000000"/>
          <w:sz w:val="27"/>
          <w:szCs w:val="27"/>
        </w:rPr>
        <w:t xml:space="preserve"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Москвы», и принимая во внимание согласование проекта решения главой управы Ломоносовского района города Москвы, </w:t>
      </w:r>
      <w:r w:rsidRPr="003E6EB6">
        <w:rPr>
          <w:b/>
          <w:sz w:val="26"/>
          <w:szCs w:val="26"/>
        </w:rPr>
        <w:t>Совет депутатов решил</w:t>
      </w:r>
      <w:r w:rsidRPr="003E6EB6">
        <w:rPr>
          <w:sz w:val="26"/>
          <w:szCs w:val="26"/>
        </w:rPr>
        <w:t xml:space="preserve">: </w:t>
      </w:r>
    </w:p>
    <w:p w14:paraId="40A3FC5F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sz w:val="26"/>
          <w:szCs w:val="26"/>
        </w:rPr>
        <w:t>2</w:t>
      </w:r>
      <w:r w:rsidRPr="003E6EB6">
        <w:rPr>
          <w:rFonts w:ascii="Times New Roman" w:hAnsi="Times New Roman"/>
          <w:sz w:val="26"/>
          <w:szCs w:val="26"/>
        </w:rPr>
        <w:t xml:space="preserve"> году (Приложение 1).</w:t>
      </w:r>
    </w:p>
    <w:p w14:paraId="6E159649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согласно приложению 1 к настоящему решению. </w:t>
      </w:r>
    </w:p>
    <w:p w14:paraId="4D335D30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468ADF3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0" w:name="_Toc363472313"/>
    </w:p>
    <w:p w14:paraId="58A22695" w14:textId="2BD00064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Опубликовать настоящее решение </w:t>
      </w:r>
      <w:r w:rsidR="001F3D1B">
        <w:rPr>
          <w:iCs/>
          <w:sz w:val="26"/>
          <w:szCs w:val="26"/>
        </w:rPr>
        <w:t>на официальном сайте муниципального округа Ломоносовский</w:t>
      </w:r>
      <w:r w:rsidRPr="003E6EB6">
        <w:rPr>
          <w:iCs/>
          <w:sz w:val="26"/>
          <w:szCs w:val="26"/>
        </w:rPr>
        <w:t>, в бюллетене «Московский муниципальный вестник».</w:t>
      </w:r>
    </w:p>
    <w:p w14:paraId="5FAF07A8" w14:textId="68A78309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Настоящее решение вступает в силу со дня официальной публикации </w:t>
      </w:r>
      <w:r w:rsidR="001F3D1B" w:rsidRPr="003E6EB6">
        <w:rPr>
          <w:iCs/>
          <w:sz w:val="26"/>
          <w:szCs w:val="26"/>
        </w:rPr>
        <w:t>в бюллетене «Московский муниципальный вестник»</w:t>
      </w:r>
      <w:r w:rsidRPr="003E6EB6">
        <w:rPr>
          <w:iCs/>
          <w:sz w:val="26"/>
          <w:szCs w:val="26"/>
        </w:rPr>
        <w:t>.</w:t>
      </w:r>
    </w:p>
    <w:p w14:paraId="58C5969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0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2F2F018A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95AC71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A9409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4C461F01" w14:textId="77777777" w:rsidR="00C25DED" w:rsidRPr="003E6EB6" w:rsidRDefault="00C25DED" w:rsidP="00C25DE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39203B8F" w14:textId="77777777" w:rsidR="00C25DED" w:rsidRPr="00B64CE0" w:rsidRDefault="00C25DED" w:rsidP="00C25DED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ab/>
      </w:r>
    </w:p>
    <w:p w14:paraId="2499C0C1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sz w:val="28"/>
          <w:szCs w:val="28"/>
        </w:rPr>
        <w:sectPr w:rsidR="00C25DED" w:rsidRPr="00B64CE0" w:rsidSect="00E604E7">
          <w:pgSz w:w="11906" w:h="16838"/>
          <w:pgMar w:top="851" w:right="707" w:bottom="284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2409"/>
        <w:gridCol w:w="2411"/>
        <w:gridCol w:w="851"/>
        <w:gridCol w:w="1196"/>
        <w:gridCol w:w="2103"/>
      </w:tblGrid>
      <w:tr w:rsidR="00C25DED" w:rsidRPr="0027123D" w14:paraId="081C38A0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3DB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36E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88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3A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892" w14:textId="77777777" w:rsidR="00C25DED" w:rsidRPr="001C610F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14:paraId="0413D698" w14:textId="1C1EE86F" w:rsidR="00C25DED" w:rsidRPr="0027123D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решению Совета депутатов муниципального округа Ломоносовский от </w:t>
            </w:r>
            <w:r w:rsidR="005B65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24 мая 2022 </w:t>
            </w: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года № </w:t>
            </w:r>
            <w:r w:rsidR="005B650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85/14</w:t>
            </w:r>
          </w:p>
        </w:tc>
      </w:tr>
      <w:tr w:rsidR="00C25DED" w:rsidRPr="0027123D" w14:paraId="0BB4E6E4" w14:textId="77777777" w:rsidTr="0051180D">
        <w:trPr>
          <w:trHeight w:val="1185"/>
        </w:trPr>
        <w:tc>
          <w:tcPr>
            <w:tcW w:w="169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4F67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0B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6E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D5E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49B01516" w14:textId="77777777" w:rsidTr="0051180D">
        <w:trPr>
          <w:trHeight w:val="450"/>
        </w:trPr>
        <w:tc>
          <w:tcPr>
            <w:tcW w:w="5000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717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программы по благоустройству территорий Ломоносовского района города Москвы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за счет средств социально-экономического развития района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</w:p>
        </w:tc>
      </w:tr>
      <w:tr w:rsidR="00C25DED" w:rsidRPr="0027123D" w14:paraId="58D9E71D" w14:textId="77777777" w:rsidTr="0051180D">
        <w:trPr>
          <w:trHeight w:val="1095"/>
        </w:trPr>
        <w:tc>
          <w:tcPr>
            <w:tcW w:w="5000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B69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25DED" w:rsidRPr="0027123D" w14:paraId="62CD4ABB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8D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C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ED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A0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AF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3B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25DED" w:rsidRPr="0027123D" w14:paraId="1FEF52B0" w14:textId="77777777" w:rsidTr="0051180D">
        <w:trPr>
          <w:trHeight w:val="6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D64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72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55F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8C0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AE9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Ед. изм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1D6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Плановая стоимость контракта (тыс.руб)</w:t>
            </w:r>
          </w:p>
        </w:tc>
      </w:tr>
      <w:tr w:rsidR="00C25DED" w:rsidRPr="0027123D" w14:paraId="39914169" w14:textId="77777777" w:rsidTr="0051180D">
        <w:trPr>
          <w:trHeight w:val="1200"/>
        </w:trPr>
        <w:tc>
          <w:tcPr>
            <w:tcW w:w="479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3E1FC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21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71E26F" w14:textId="40267D3E" w:rsidR="00C25DED" w:rsidRPr="0027123D" w:rsidRDefault="001F3D1B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 Академика Пилюгина, д. 12, к. 2, д. 14, к. 2 (двор между домами)</w:t>
            </w:r>
          </w:p>
        </w:tc>
        <w:tc>
          <w:tcPr>
            <w:tcW w:w="1215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43087B0A" w14:textId="71D3F38F" w:rsidR="00C25DED" w:rsidRPr="0027123D" w:rsidRDefault="001F3D1B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Памп-трек</w:t>
            </w:r>
          </w:p>
        </w:tc>
        <w:tc>
          <w:tcPr>
            <w:tcW w:w="429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76509BF" w14:textId="3ACD5E80" w:rsidR="00C25DED" w:rsidRPr="0027123D" w:rsidRDefault="001F3D1B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03" w:type="pct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A33B96E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D9104" w14:textId="4FA1DDE6" w:rsidR="00C25DED" w:rsidRPr="0027123D" w:rsidRDefault="001F3D1B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3000,00</w:t>
            </w:r>
          </w:p>
        </w:tc>
      </w:tr>
      <w:tr w:rsidR="00C25DED" w:rsidRPr="0027123D" w14:paraId="187448BA" w14:textId="77777777" w:rsidTr="0051180D">
        <w:trPr>
          <w:trHeight w:val="300"/>
        </w:trPr>
        <w:tc>
          <w:tcPr>
            <w:tcW w:w="479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8735D5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1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28FA4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21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5895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023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603" w:type="pct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984A74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D26C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5B598581" w14:textId="77777777" w:rsidTr="0051180D">
        <w:trPr>
          <w:trHeight w:val="30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073DC" w14:textId="2A755EFC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объекту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                                                                </w:t>
            </w:r>
            <w:r w:rsidR="001F3D1B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3000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  <w:tr w:rsidR="00C25DED" w:rsidRPr="0027123D" w14:paraId="407CAC24" w14:textId="77777777" w:rsidTr="0051180D">
        <w:trPr>
          <w:trHeight w:val="300"/>
        </w:trPr>
        <w:tc>
          <w:tcPr>
            <w:tcW w:w="394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95155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объектам: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78B" w14:textId="6455DC6D" w:rsidR="00C25DED" w:rsidRPr="00CC4B3D" w:rsidRDefault="001F3D1B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3000</w:t>
            </w:r>
            <w:r w:rsidR="00C25DE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14:paraId="09E4C975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91141F5" w14:textId="7272B953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C72EA54" w14:textId="77777777" w:rsidR="00E662C0" w:rsidRDefault="00E662C0" w:rsidP="00E662C0">
      <w:pPr>
        <w:jc w:val="center"/>
        <w:rPr>
          <w:rFonts w:ascii="Times New Roman" w:hAnsi="Times New Roman"/>
          <w:b/>
          <w:sz w:val="24"/>
          <w:szCs w:val="24"/>
        </w:rPr>
      </w:pPr>
      <w:r w:rsidRPr="009416BE">
        <w:rPr>
          <w:rFonts w:ascii="Times New Roman" w:hAnsi="Times New Roman"/>
          <w:b/>
          <w:sz w:val="24"/>
          <w:szCs w:val="24"/>
        </w:rPr>
        <w:t xml:space="preserve">ТЕХНИЧЕСКОЕ ЗАДАНИЕ </w:t>
      </w:r>
    </w:p>
    <w:p w14:paraId="6F948143" w14:textId="77777777" w:rsidR="00E662C0" w:rsidRPr="009416BE" w:rsidRDefault="00E662C0" w:rsidP="00E662C0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</w:t>
      </w:r>
      <w:r w:rsidRPr="009416BE">
        <w:rPr>
          <w:rFonts w:ascii="Times New Roman" w:hAnsi="Times New Roman"/>
          <w:b/>
          <w:sz w:val="24"/>
          <w:szCs w:val="24"/>
        </w:rPr>
        <w:t>а закупку модульного Памп</w:t>
      </w:r>
      <w:r>
        <w:rPr>
          <w:rFonts w:ascii="Times New Roman" w:hAnsi="Times New Roman"/>
          <w:b/>
          <w:sz w:val="24"/>
          <w:szCs w:val="24"/>
        </w:rPr>
        <w:t>-</w:t>
      </w:r>
      <w:r w:rsidRPr="009416BE">
        <w:rPr>
          <w:rFonts w:ascii="Times New Roman" w:hAnsi="Times New Roman"/>
          <w:b/>
          <w:sz w:val="24"/>
          <w:szCs w:val="24"/>
        </w:rPr>
        <w:t>трека из пластикового композита</w:t>
      </w:r>
    </w:p>
    <w:p w14:paraId="2F2FE4FF" w14:textId="77777777" w:rsidR="00E662C0" w:rsidRPr="009416BE" w:rsidRDefault="00E662C0" w:rsidP="00E662C0">
      <w:pPr>
        <w:rPr>
          <w:rFonts w:ascii="Times New Roman" w:hAnsi="Times New Roman"/>
          <w:bCs/>
          <w:iCs/>
          <w:sz w:val="24"/>
          <w:szCs w:val="24"/>
          <w:highlight w:val="yellow"/>
        </w:rPr>
      </w:pPr>
    </w:p>
    <w:p w14:paraId="5B70D5A3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bCs/>
          <w:color w:val="252525"/>
          <w:sz w:val="24"/>
          <w:szCs w:val="24"/>
        </w:rPr>
      </w:pPr>
      <w:r w:rsidRPr="009416BE">
        <w:rPr>
          <w:rFonts w:ascii="Times New Roman" w:eastAsia="Calibri" w:hAnsi="Times New Roman"/>
          <w:b/>
          <w:color w:val="252525"/>
          <w:sz w:val="24"/>
          <w:szCs w:val="24"/>
        </w:rPr>
        <w:t>Описание закупаемого оборудования:</w:t>
      </w:r>
      <w:r w:rsidRPr="009416BE">
        <w:rPr>
          <w:rFonts w:ascii="Times New Roman" w:eastAsia="Calibri" w:hAnsi="Times New Roman"/>
          <w:bCs/>
          <w:color w:val="252525"/>
          <w:sz w:val="24"/>
          <w:szCs w:val="24"/>
        </w:rPr>
        <w:t xml:space="preserve"> </w:t>
      </w:r>
    </w:p>
    <w:p w14:paraId="12C0C79A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color w:val="252525"/>
          <w:sz w:val="24"/>
          <w:szCs w:val="24"/>
        </w:rPr>
      </w:pPr>
      <w:r w:rsidRPr="009416BE">
        <w:rPr>
          <w:rFonts w:ascii="Times New Roman" w:eastAsia="Calibri" w:hAnsi="Times New Roman"/>
          <w:bCs/>
          <w:color w:val="252525"/>
          <w:sz w:val="24"/>
          <w:szCs w:val="24"/>
        </w:rPr>
        <w:t>Памптрек</w:t>
      </w:r>
      <w:r w:rsidRPr="009416BE">
        <w:rPr>
          <w:rFonts w:ascii="Times New Roman" w:eastAsia="Calibri" w:hAnsi="Times New Roman"/>
          <w:color w:val="252525"/>
          <w:sz w:val="24"/>
          <w:szCs w:val="24"/>
        </w:rPr>
        <w:t xml:space="preserve"> - специальная трасса для колесных видов спорта/отдыха, представляющая собой волнообразную по горизонтали трассу с сочетанием подъемов и впадин и поворотных контруклонов. Такая геометрия предоставляет катающимся возможность движения по памптреку и поддержания скорости не за счёт вращения педалей </w:t>
      </w:r>
      <w:r w:rsidRPr="009416BE">
        <w:rPr>
          <w:rFonts w:ascii="Times New Roman" w:eastAsia="Calibri" w:hAnsi="Times New Roman"/>
          <w:sz w:val="24"/>
          <w:szCs w:val="24"/>
        </w:rPr>
        <w:t>или отталкивания ногами от дорожки движения</w:t>
      </w:r>
      <w:r w:rsidRPr="009416BE">
        <w:rPr>
          <w:rFonts w:ascii="Times New Roman" w:eastAsia="Calibri" w:hAnsi="Times New Roman"/>
          <w:color w:val="252525"/>
          <w:sz w:val="24"/>
          <w:szCs w:val="24"/>
        </w:rPr>
        <w:t xml:space="preserve">, а с помощью специальной техники прохождения («прокачки») волн — во впадинах велосипед «вжимается», на волне «расслабляется». Движение на самокатах, роликах и скейтбордах происходит за счет приседаний в такт прохождения по кочкам/впадинам. Принцип движения по памптреку схож с раскачиванием качелей. </w:t>
      </w:r>
    </w:p>
    <w:p w14:paraId="08B61C51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416BE">
        <w:rPr>
          <w:rFonts w:ascii="Times New Roman" w:eastAsia="Calibri" w:hAnsi="Times New Roman"/>
          <w:sz w:val="24"/>
          <w:szCs w:val="24"/>
        </w:rPr>
        <w:t xml:space="preserve">Двигаться на памптреке можно, практически, на любом колесном средстве с соответствующей профилю трека геометрической проходимостью. Памптрек используется как объект публичного катания, а также в качестве спортивного тренажера для отработки прохождения препятствий и навыков балансирования, где он применяется для обучения детей и тренировок профессиональных спортсменов. </w:t>
      </w:r>
    </w:p>
    <w:p w14:paraId="4D68F9D6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14:paraId="4F45593D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9416BE">
        <w:rPr>
          <w:rFonts w:ascii="Times New Roman" w:eastAsia="Calibri" w:hAnsi="Times New Roman"/>
          <w:b/>
          <w:bCs/>
          <w:sz w:val="24"/>
          <w:szCs w:val="24"/>
        </w:rPr>
        <w:t>Соответствие Государственным Стандартам:</w:t>
      </w:r>
    </w:p>
    <w:p w14:paraId="327D527A" w14:textId="77777777" w:rsidR="00E662C0" w:rsidRPr="009416BE" w:rsidRDefault="00E662C0" w:rsidP="00E662C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416BE">
        <w:rPr>
          <w:rFonts w:ascii="Times New Roman" w:eastAsia="Calibri" w:hAnsi="Times New Roman"/>
          <w:sz w:val="24"/>
          <w:szCs w:val="24"/>
        </w:rPr>
        <w:t>ГОСТ Р 54415-2011 "Оборудование для скейт площадок. Безопасность конструкции и методы испытаний. Общие требования"</w:t>
      </w:r>
    </w:p>
    <w:p w14:paraId="0CD1D995" w14:textId="77777777" w:rsidR="00E662C0" w:rsidRPr="009416BE" w:rsidRDefault="00E662C0" w:rsidP="00E662C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416BE">
        <w:rPr>
          <w:rFonts w:ascii="Times New Roman" w:eastAsia="Calibri" w:hAnsi="Times New Roman"/>
          <w:sz w:val="24"/>
          <w:szCs w:val="24"/>
        </w:rPr>
        <w:lastRenderedPageBreak/>
        <w:t>Требованиям безопасности и/или мерам защиты по ГОСТ Р ИСО/МЭК 50, ГОСТ Р 52169.</w:t>
      </w:r>
    </w:p>
    <w:p w14:paraId="6994D2A3" w14:textId="77777777" w:rsidR="00E662C0" w:rsidRPr="009416BE" w:rsidRDefault="00E662C0" w:rsidP="00E662C0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/>
          <w:sz w:val="24"/>
          <w:szCs w:val="24"/>
        </w:rPr>
      </w:pPr>
      <w:r w:rsidRPr="009416BE">
        <w:rPr>
          <w:rFonts w:ascii="Times New Roman" w:eastAsia="Calibri" w:hAnsi="Times New Roman"/>
          <w:sz w:val="24"/>
          <w:szCs w:val="24"/>
        </w:rPr>
        <w:t xml:space="preserve">Обязательное подтверждение соответствия параметров оборудования Сертификатом ГОСТ Р. </w:t>
      </w:r>
    </w:p>
    <w:p w14:paraId="0D61A92F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14:paraId="76A42E1D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416BE">
        <w:rPr>
          <w:rFonts w:ascii="Times New Roman" w:eastAsia="Calibri" w:hAnsi="Times New Roman"/>
          <w:b/>
          <w:bCs/>
          <w:sz w:val="24"/>
          <w:szCs w:val="24"/>
        </w:rPr>
        <w:t>Требования к конструкции и безопасности:</w:t>
      </w:r>
      <w:r w:rsidRPr="009416BE">
        <w:rPr>
          <w:rFonts w:ascii="Times New Roman" w:eastAsia="Calibri" w:hAnsi="Times New Roman"/>
          <w:sz w:val="24"/>
          <w:szCs w:val="24"/>
        </w:rPr>
        <w:t xml:space="preserve"> </w:t>
      </w:r>
    </w:p>
    <w:p w14:paraId="1389F7AA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416BE">
        <w:rPr>
          <w:rFonts w:ascii="Times New Roman" w:eastAsia="Calibri" w:hAnsi="Times New Roman"/>
          <w:sz w:val="24"/>
          <w:szCs w:val="24"/>
        </w:rPr>
        <w:t>Траектория памптрека в рамках данной закупки должна собираться из набора модулей серийного производства определенной формы. Сборка траектории памптрека производится стягиванием фланцев соседних модулей крепежными элементами: болтами, гайками и шайбами диаметром минимум М10 класс, изготовленных из нержавеющей стали А2 ГОСТ 7798-70.</w:t>
      </w:r>
    </w:p>
    <w:p w14:paraId="2EEEE23E" w14:textId="77777777" w:rsidR="00E662C0" w:rsidRPr="009416BE" w:rsidRDefault="00E662C0" w:rsidP="00E662C0">
      <w:pPr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9416BE">
        <w:rPr>
          <w:rFonts w:ascii="Times New Roman" w:eastAsia="Calibri" w:hAnsi="Times New Roman"/>
          <w:sz w:val="24"/>
          <w:szCs w:val="24"/>
        </w:rPr>
        <w:t xml:space="preserve">Модульная конструкция должна позволять гибко перестраивать траекторий, а фланцы модулей выдерживать не менее 300 циклов разборки – сборки/затяжки. </w:t>
      </w:r>
    </w:p>
    <w:p w14:paraId="1D6A21D1" w14:textId="77777777" w:rsidR="00E662C0" w:rsidRPr="009416BE" w:rsidRDefault="00E662C0" w:rsidP="00E662C0">
      <w:pPr>
        <w:suppressAutoHyphens/>
        <w:ind w:firstLine="708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Конструкция памптрека, должна предусматривать возможность разборки и сборки силами заказчика установленной конфигурации трека с использованием ручного инструмента: отверток и гаечных ключей, а также создания альтернативных конфигураций. Поставщик обязан предусмотреть констукцией памптрека возможность установки съездов, заездов и/или масштабирования конфигурации за счет других модулей схожего геометрических размеров.</w:t>
      </w:r>
    </w:p>
    <w:p w14:paraId="0BA018BC" w14:textId="77777777" w:rsidR="00E662C0" w:rsidRPr="009416BE" w:rsidRDefault="00E662C0" w:rsidP="00E662C0">
      <w:pPr>
        <w:suppressAutoHyphens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Каждый отдельный модуль должен позволять его перемещение с места на место вручную, без использования специальных технических и механических средств. Вес каждого модуля не должен превышать 50 кг.</w:t>
      </w:r>
    </w:p>
    <w:p w14:paraId="17E1948E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 xml:space="preserve">Памп-трек должен быть изготовлен из пластиковых/полимерных композиционных материалов </w:t>
      </w:r>
      <w:r w:rsidRPr="009416BE">
        <w:rPr>
          <w:rFonts w:ascii="Times New Roman" w:hAnsi="Times New Roman"/>
          <w:iCs/>
          <w:sz w:val="24"/>
          <w:szCs w:val="24"/>
        </w:rPr>
        <w:t>(АБС-пластика или стеклопластика),</w:t>
      </w:r>
      <w:r w:rsidRPr="009416BE">
        <w:rPr>
          <w:rFonts w:ascii="Times New Roman" w:hAnsi="Times New Roman"/>
          <w:sz w:val="24"/>
          <w:szCs w:val="24"/>
        </w:rPr>
        <w:t xml:space="preserve"> не допускается использование в несущей конструкции и конструкции полосы движения, модулей из материалов коротких сроков уличной эксплуатации менее 10 лет, например: деревянных, фанерных и древесноволокнистых деталей.</w:t>
      </w:r>
    </w:p>
    <w:p w14:paraId="440CBE2A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 xml:space="preserve">Толщина гелькоутного покрытия конструкции модулей из полимерных композиционных материалов должна быть не менее 0,3 мм. Методика измерения в соответствии с </w:t>
      </w:r>
      <w:r w:rsidRPr="009416BE">
        <w:rPr>
          <w:rFonts w:ascii="Times New Roman" w:hAnsi="Times New Roman"/>
          <w:color w:val="333333"/>
          <w:sz w:val="23"/>
          <w:szCs w:val="23"/>
          <w:shd w:val="clear" w:color="auto" w:fill="FBFBFB"/>
        </w:rPr>
        <w:t>ГОСТ Р </w:t>
      </w:r>
      <w:r w:rsidRPr="009416BE">
        <w:rPr>
          <w:rFonts w:ascii="Times New Roman" w:hAnsi="Times New Roman"/>
          <w:b/>
          <w:bCs/>
          <w:color w:val="333333"/>
          <w:sz w:val="23"/>
          <w:szCs w:val="23"/>
          <w:shd w:val="clear" w:color="auto" w:fill="FBFBFB"/>
        </w:rPr>
        <w:t>ИСО</w:t>
      </w:r>
      <w:r w:rsidRPr="009416BE">
        <w:rPr>
          <w:rFonts w:ascii="Times New Roman" w:hAnsi="Times New Roman"/>
          <w:color w:val="333333"/>
          <w:sz w:val="23"/>
          <w:szCs w:val="23"/>
          <w:shd w:val="clear" w:color="auto" w:fill="FBFBFB"/>
        </w:rPr>
        <w:t> </w:t>
      </w:r>
      <w:r w:rsidRPr="009416BE">
        <w:rPr>
          <w:rFonts w:ascii="Times New Roman" w:hAnsi="Times New Roman"/>
          <w:b/>
          <w:bCs/>
          <w:color w:val="333333"/>
          <w:sz w:val="23"/>
          <w:szCs w:val="23"/>
          <w:shd w:val="clear" w:color="auto" w:fill="FBFBFB"/>
        </w:rPr>
        <w:t>5470</w:t>
      </w:r>
      <w:r w:rsidRPr="009416BE">
        <w:rPr>
          <w:rFonts w:ascii="Times New Roman" w:hAnsi="Times New Roman"/>
          <w:color w:val="333333"/>
          <w:sz w:val="23"/>
          <w:szCs w:val="23"/>
          <w:shd w:val="clear" w:color="auto" w:fill="FBFBFB"/>
        </w:rPr>
        <w:t>-2-2017.</w:t>
      </w:r>
    </w:p>
    <w:p w14:paraId="37E81C09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Твердость по Барколю полимерных поверхностей – не менее 40. Методика измерения в соответствии с ЕН-59:1977 (</w:t>
      </w:r>
      <w:r w:rsidRPr="009416BE">
        <w:rPr>
          <w:rFonts w:ascii="Times New Roman" w:hAnsi="Times New Roman"/>
          <w:sz w:val="24"/>
          <w:szCs w:val="24"/>
          <w:lang w:val="en-US"/>
        </w:rPr>
        <w:t>EN</w:t>
      </w:r>
      <w:r w:rsidRPr="009416BE">
        <w:rPr>
          <w:rFonts w:ascii="Times New Roman" w:hAnsi="Times New Roman"/>
          <w:sz w:val="24"/>
          <w:szCs w:val="24"/>
        </w:rPr>
        <w:t>-59:1977).</w:t>
      </w:r>
    </w:p>
    <w:p w14:paraId="5E8869BF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Конструкция полотна движения, поверхности катания, должна выдерживать вертикальную нагрузку не менее, 3,5 кН/м2.</w:t>
      </w:r>
    </w:p>
    <w:p w14:paraId="324DB47B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 xml:space="preserve">Выступающие концы болтовых соединений должны быть надежно защищены. В соотвествии с </w:t>
      </w:r>
      <w:r w:rsidRPr="009416BE">
        <w:rPr>
          <w:rFonts w:ascii="Times New Roman" w:eastAsia="Calibri" w:hAnsi="Times New Roman"/>
          <w:sz w:val="24"/>
          <w:szCs w:val="24"/>
        </w:rPr>
        <w:t>ГОСТ Р 52169.</w:t>
      </w:r>
    </w:p>
    <w:p w14:paraId="6A11A255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Использование крепежных элементов, а также же наличие головок саморезов на полосе движения не допускается.</w:t>
      </w:r>
    </w:p>
    <w:p w14:paraId="418D73F1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Конструкция модулей должна быть бесшовной, а именно, между вертикальными несущими стенками и полосой движения не допускается наличие стыкового соединения поверхностей. Конструкция модуля должна быть монолитной конструкции</w:t>
      </w:r>
      <w:r w:rsidRPr="009416BE">
        <w:rPr>
          <w:rFonts w:ascii="Times New Roman" w:hAnsi="Times New Roman"/>
          <w:color w:val="FF0000"/>
          <w:sz w:val="24"/>
          <w:szCs w:val="24"/>
        </w:rPr>
        <w:t>,</w:t>
      </w:r>
      <w:r w:rsidRPr="009416BE">
        <w:rPr>
          <w:rFonts w:ascii="Times New Roman" w:hAnsi="Times New Roman"/>
          <w:sz w:val="24"/>
          <w:szCs w:val="24"/>
        </w:rPr>
        <w:t xml:space="preserve"> сплошной, без швов и зазоров не допускается исполнения из сборных компонентов.</w:t>
      </w:r>
    </w:p>
    <w:p w14:paraId="6AA5AEF4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lastRenderedPageBreak/>
        <w:t xml:space="preserve">Полоса движения должна иметь обустроенное анти-скользящее покрытие, увеличивающее уверенное сцепление колес с поверхностью, даже в дни повышенной влажности, шероховатостью </w:t>
      </w:r>
      <w:r w:rsidRPr="009416BE">
        <w:rPr>
          <w:rFonts w:ascii="Times New Roman" w:hAnsi="Times New Roman"/>
          <w:sz w:val="24"/>
          <w:szCs w:val="24"/>
          <w:lang w:val="en-US"/>
        </w:rPr>
        <w:t>R</w:t>
      </w:r>
      <w:r w:rsidRPr="009416BE">
        <w:rPr>
          <w:rFonts w:ascii="Times New Roman" w:hAnsi="Times New Roman"/>
          <w:sz w:val="24"/>
          <w:szCs w:val="24"/>
        </w:rPr>
        <w:t xml:space="preserve"> 36 до </w:t>
      </w:r>
      <w:r w:rsidRPr="009416BE">
        <w:rPr>
          <w:rFonts w:ascii="Times New Roman" w:hAnsi="Times New Roman"/>
          <w:sz w:val="24"/>
          <w:szCs w:val="24"/>
          <w:lang w:val="en-US"/>
        </w:rPr>
        <w:t>R</w:t>
      </w:r>
      <w:r w:rsidRPr="009416BE">
        <w:rPr>
          <w:rFonts w:ascii="Times New Roman" w:hAnsi="Times New Roman"/>
          <w:sz w:val="24"/>
          <w:szCs w:val="24"/>
        </w:rPr>
        <w:t>22 по ГОСТ 52381-2005.</w:t>
      </w:r>
    </w:p>
    <w:p w14:paraId="7135AEA3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 xml:space="preserve">Поставщик, выбранный в результате торгов в подтверждение наличия у него композитной технологии, обязан выслать образцы полимерного композита размером 150 х 150 мм, в количестве, равном количеству цветов модулей по настоящему техническому заданию. Указанные образцы и поясняющие к ним документы должны быть представлены в течение 2 недель с момента публикации результатов конкурса. </w:t>
      </w:r>
    </w:p>
    <w:p w14:paraId="3379A7EA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 xml:space="preserve">Оборудование должно выдерживать без сдвига или наклона кратковременную горизонтально приложенную нагрузку </w:t>
      </w:r>
      <w:r w:rsidRPr="009416BE">
        <w:rPr>
          <w:rFonts w:ascii="Times New Roman" w:hAnsi="Times New Roman"/>
          <w:sz w:val="24"/>
          <w:szCs w:val="24"/>
          <w:lang w:val="en-US"/>
        </w:rPr>
        <w:t>F</w:t>
      </w:r>
      <w:r w:rsidRPr="009416BE">
        <w:rPr>
          <w:rFonts w:ascii="Times New Roman" w:hAnsi="Times New Roman"/>
          <w:sz w:val="24"/>
          <w:szCs w:val="24"/>
        </w:rPr>
        <w:t xml:space="preserve">=1,5 кН/м в соответствии с </w:t>
      </w:r>
      <w:r w:rsidRPr="009416BE">
        <w:rPr>
          <w:rFonts w:ascii="Times New Roman" w:eastAsia="Calibri" w:hAnsi="Times New Roman"/>
          <w:sz w:val="24"/>
          <w:szCs w:val="24"/>
        </w:rPr>
        <w:t>ГОСТ Р 52169</w:t>
      </w:r>
      <w:r w:rsidRPr="009416BE">
        <w:rPr>
          <w:rFonts w:ascii="Times New Roman" w:hAnsi="Times New Roman"/>
          <w:sz w:val="24"/>
          <w:szCs w:val="24"/>
        </w:rPr>
        <w:t>.</w:t>
      </w:r>
    </w:p>
    <w:p w14:paraId="5D2B89DB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Материал модулей трека должен обеспечивать устойчивость к воздействию УФ излучения и погодным условиям присущим району эксплуатации, морозоустойчивостью не ниже – 30 градусов Цельсия. Свойства материалов должны сохраняться в течение минимум 10 лет уличной эксплуатации вне помещений и без специальных условий хранения.</w:t>
      </w:r>
    </w:p>
    <w:p w14:paraId="6A548C32" w14:textId="77777777" w:rsidR="00E662C0" w:rsidRPr="009416BE" w:rsidRDefault="00E662C0" w:rsidP="00E662C0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Собранная конфигурация должны со всех сторон быть закрытой. Вертикальные декоративные панели, имеющие антивандальную функцию, ограничивая доступ третьих лиц к креплению поворотных модулей между собой, должны быть ровными и дающими возможность декорирования.</w:t>
      </w:r>
    </w:p>
    <w:p w14:paraId="48933ABF" w14:textId="77777777" w:rsidR="00E662C0" w:rsidRPr="009416BE" w:rsidRDefault="00E662C0" w:rsidP="00E662C0">
      <w:pPr>
        <w:ind w:firstLine="708"/>
        <w:jc w:val="both"/>
        <w:rPr>
          <w:rFonts w:ascii="Times New Roman" w:eastAsia="Calibri" w:hAnsi="Times New Roman"/>
          <w:bCs/>
          <w:iCs/>
          <w:sz w:val="24"/>
          <w:szCs w:val="24"/>
        </w:rPr>
      </w:pPr>
      <w:r w:rsidRPr="009416BE">
        <w:rPr>
          <w:rFonts w:ascii="Times New Roman" w:eastAsia="Calibri" w:hAnsi="Times New Roman"/>
          <w:bCs/>
          <w:iCs/>
          <w:sz w:val="24"/>
          <w:szCs w:val="24"/>
        </w:rPr>
        <w:t xml:space="preserve">Модули должны быть цветными, при этом полимер должен быть прокрашен в массе на толщину не менее 3 мм, пигментом выбранных цветов по согласованным </w:t>
      </w:r>
      <w:r w:rsidRPr="009416BE">
        <w:rPr>
          <w:rFonts w:ascii="Times New Roman" w:eastAsia="Calibri" w:hAnsi="Times New Roman"/>
          <w:bCs/>
          <w:iCs/>
          <w:sz w:val="24"/>
          <w:szCs w:val="24"/>
          <w:lang w:val="en-US"/>
        </w:rPr>
        <w:t>RAL</w:t>
      </w:r>
      <w:r w:rsidRPr="009416BE">
        <w:rPr>
          <w:rFonts w:ascii="Times New Roman" w:eastAsia="Calibri" w:hAnsi="Times New Roman"/>
          <w:bCs/>
          <w:iCs/>
          <w:sz w:val="24"/>
          <w:szCs w:val="24"/>
        </w:rPr>
        <w:t>, что обеспечивает стойкость цвета по ГОСТ 9.401-91 в течение всего заявленного срока службы. Поверхностное окрашивание любыми видами краски не допускается.</w:t>
      </w:r>
    </w:p>
    <w:p w14:paraId="53419065" w14:textId="77777777" w:rsidR="00E662C0" w:rsidRPr="009416BE" w:rsidRDefault="00E662C0" w:rsidP="00E662C0">
      <w:pPr>
        <w:ind w:firstLine="708"/>
        <w:jc w:val="both"/>
        <w:rPr>
          <w:rFonts w:ascii="Times New Roman" w:eastAsia="Calibri" w:hAnsi="Times New Roman"/>
          <w:bCs/>
          <w:iCs/>
          <w:sz w:val="24"/>
          <w:szCs w:val="24"/>
        </w:rPr>
      </w:pPr>
      <w:r w:rsidRPr="009416BE">
        <w:rPr>
          <w:rFonts w:ascii="Times New Roman" w:eastAsia="Calibri" w:hAnsi="Times New Roman"/>
          <w:bCs/>
          <w:iCs/>
          <w:sz w:val="24"/>
          <w:szCs w:val="24"/>
        </w:rPr>
        <w:t xml:space="preserve"> Поставляемый памптрек цвета: </w:t>
      </w:r>
    </w:p>
    <w:p w14:paraId="154D58D2" w14:textId="77777777" w:rsidR="00E662C0" w:rsidRPr="009416BE" w:rsidRDefault="00E662C0" w:rsidP="00E662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bCs/>
          <w:iCs/>
          <w:color w:val="C45911" w:themeColor="accent2" w:themeShade="BF"/>
          <w:sz w:val="24"/>
          <w:szCs w:val="24"/>
        </w:rPr>
      </w:pPr>
      <w:r w:rsidRPr="009416BE">
        <w:rPr>
          <w:rFonts w:ascii="Times New Roman" w:eastAsia="Calibri" w:hAnsi="Times New Roman"/>
          <w:bCs/>
          <w:iCs/>
          <w:sz w:val="24"/>
          <w:szCs w:val="24"/>
        </w:rPr>
        <w:t>модули контруклонов 22 шт RAL 3020 (красный), отклонения по ГОСТ 29319-92</w:t>
      </w:r>
    </w:p>
    <w:p w14:paraId="535539DE" w14:textId="77777777" w:rsidR="00E662C0" w:rsidRPr="009416BE" w:rsidRDefault="00E662C0" w:rsidP="00E662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bCs/>
          <w:iCs/>
          <w:color w:val="C45911" w:themeColor="accent2" w:themeShade="BF"/>
          <w:sz w:val="24"/>
          <w:szCs w:val="24"/>
        </w:rPr>
      </w:pPr>
      <w:r w:rsidRPr="009416BE">
        <w:rPr>
          <w:rFonts w:ascii="Times New Roman" w:eastAsia="Calibri" w:hAnsi="Times New Roman"/>
          <w:bCs/>
          <w:iCs/>
          <w:sz w:val="24"/>
          <w:szCs w:val="24"/>
        </w:rPr>
        <w:t xml:space="preserve">остальные участки и модули –  </w:t>
      </w:r>
      <w:r w:rsidRPr="009416BE">
        <w:rPr>
          <w:rFonts w:ascii="Times New Roman" w:eastAsia="Calibri" w:hAnsi="Times New Roman"/>
          <w:bCs/>
          <w:iCs/>
          <w:sz w:val="24"/>
          <w:szCs w:val="24"/>
          <w:lang w:val="en-US"/>
        </w:rPr>
        <w:t>RAL</w:t>
      </w:r>
      <w:r w:rsidRPr="009416BE">
        <w:rPr>
          <w:rFonts w:ascii="Times New Roman" w:eastAsia="Calibri" w:hAnsi="Times New Roman"/>
          <w:bCs/>
          <w:iCs/>
          <w:sz w:val="24"/>
          <w:szCs w:val="24"/>
        </w:rPr>
        <w:t xml:space="preserve"> 7046 (серый), ГОСТ 29319-92</w:t>
      </w:r>
    </w:p>
    <w:p w14:paraId="0799E1BA" w14:textId="77777777" w:rsidR="00E662C0" w:rsidRPr="009416BE" w:rsidRDefault="00E662C0" w:rsidP="00E662C0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/>
          <w:bCs/>
          <w:iCs/>
          <w:color w:val="C45911" w:themeColor="accent2" w:themeShade="BF"/>
          <w:sz w:val="24"/>
          <w:szCs w:val="24"/>
        </w:rPr>
      </w:pPr>
      <w:r w:rsidRPr="009416BE">
        <w:rPr>
          <w:rFonts w:ascii="Times New Roman" w:eastAsia="Calibri" w:hAnsi="Times New Roman"/>
          <w:bCs/>
          <w:iCs/>
          <w:sz w:val="24"/>
          <w:szCs w:val="24"/>
        </w:rPr>
        <w:t xml:space="preserve">Задние перегородки ниш поворотных модулей (контруклонов Т3) – коричневый ближе к RAL 8017.  </w:t>
      </w:r>
    </w:p>
    <w:p w14:paraId="35755B83" w14:textId="77777777" w:rsidR="00E662C0" w:rsidRPr="009416BE" w:rsidRDefault="00E662C0" w:rsidP="00E662C0">
      <w:pPr>
        <w:pStyle w:val="a5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eastAsia="Calibri" w:hAnsi="Times New Roman"/>
          <w:bCs/>
          <w:iCs/>
          <w:sz w:val="24"/>
          <w:szCs w:val="24"/>
        </w:rPr>
        <w:t>Поставщик обязан дать Гарантия на прокраску (отсутствие цветовых «проплешин» на боковых поверхностях модулей) не менее 3 лет.</w:t>
      </w:r>
      <w:r w:rsidRPr="009416BE">
        <w:rPr>
          <w:rFonts w:ascii="Times New Roman" w:eastAsia="Calibri" w:hAnsi="Times New Roman"/>
          <w:bCs/>
          <w:iCs/>
          <w:color w:val="C45911" w:themeColor="accent2" w:themeShade="BF"/>
          <w:sz w:val="24"/>
          <w:szCs w:val="24"/>
        </w:rPr>
        <w:t xml:space="preserve"> </w:t>
      </w:r>
    </w:p>
    <w:p w14:paraId="72447A3E" w14:textId="77777777" w:rsidR="00E662C0" w:rsidRPr="009416BE" w:rsidRDefault="00E662C0" w:rsidP="00E662C0">
      <w:pPr>
        <w:rPr>
          <w:rFonts w:ascii="Times New Roman" w:hAnsi="Times New Roman"/>
          <w:sz w:val="24"/>
          <w:szCs w:val="24"/>
        </w:rPr>
      </w:pP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2"/>
        <w:gridCol w:w="5530"/>
        <w:gridCol w:w="3709"/>
      </w:tblGrid>
      <w:tr w:rsidR="00E662C0" w:rsidRPr="009416BE" w14:paraId="15F5F3B2" w14:textId="77777777" w:rsidTr="00D02052">
        <w:tc>
          <w:tcPr>
            <w:tcW w:w="339" w:type="pct"/>
            <w:vMerge w:val="restart"/>
            <w:vAlign w:val="center"/>
          </w:tcPr>
          <w:p w14:paraId="48128B91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№ п/п</w:t>
            </w:r>
          </w:p>
        </w:tc>
        <w:tc>
          <w:tcPr>
            <w:tcW w:w="4661" w:type="pct"/>
            <w:gridSpan w:val="2"/>
          </w:tcPr>
          <w:p w14:paraId="0A811B03" w14:textId="77777777" w:rsidR="00E662C0" w:rsidRPr="009416BE" w:rsidRDefault="00E662C0" w:rsidP="00D02052">
            <w:pPr>
              <w:tabs>
                <w:tab w:val="left" w:pos="-142"/>
              </w:tabs>
              <w:ind w:right="-4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16BE">
              <w:rPr>
                <w:rFonts w:ascii="Times New Roman" w:eastAsia="Calibri" w:hAnsi="Times New Roman"/>
                <w:b/>
                <w:sz w:val="24"/>
                <w:szCs w:val="24"/>
              </w:rPr>
              <w:t>Требования к техническим характеристикам</w:t>
            </w:r>
          </w:p>
        </w:tc>
      </w:tr>
      <w:tr w:rsidR="00E662C0" w:rsidRPr="009416BE" w14:paraId="70DA18ED" w14:textId="77777777" w:rsidTr="00D02052">
        <w:trPr>
          <w:trHeight w:val="393"/>
        </w:trPr>
        <w:tc>
          <w:tcPr>
            <w:tcW w:w="339" w:type="pct"/>
            <w:vMerge/>
            <w:vAlign w:val="center"/>
          </w:tcPr>
          <w:p w14:paraId="1792B095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shd w:val="clear" w:color="auto" w:fill="F5EFD7"/>
              </w:rPr>
            </w:pPr>
          </w:p>
        </w:tc>
        <w:tc>
          <w:tcPr>
            <w:tcW w:w="2790" w:type="pct"/>
          </w:tcPr>
          <w:p w14:paraId="718D1174" w14:textId="77777777" w:rsidR="00E662C0" w:rsidRPr="009416BE" w:rsidRDefault="00E662C0" w:rsidP="00D02052">
            <w:pPr>
              <w:tabs>
                <w:tab w:val="left" w:pos="-142"/>
              </w:tabs>
              <w:ind w:right="-4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16BE">
              <w:rPr>
                <w:rFonts w:ascii="Times New Roman" w:eastAsia="Calibri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1871" w:type="pct"/>
          </w:tcPr>
          <w:p w14:paraId="4BE37A5D" w14:textId="77777777" w:rsidR="00E662C0" w:rsidRPr="009416BE" w:rsidRDefault="00E662C0" w:rsidP="00D02052">
            <w:pPr>
              <w:tabs>
                <w:tab w:val="left" w:pos="-142"/>
              </w:tabs>
              <w:ind w:right="-40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16BE">
              <w:rPr>
                <w:rFonts w:ascii="Times New Roman" w:eastAsia="Calibri" w:hAnsi="Times New Roman"/>
                <w:b/>
                <w:sz w:val="24"/>
                <w:szCs w:val="24"/>
              </w:rPr>
              <w:t>Требуемое значение</w:t>
            </w:r>
          </w:p>
        </w:tc>
      </w:tr>
      <w:tr w:rsidR="00E662C0" w:rsidRPr="009416BE" w14:paraId="3573A6B1" w14:textId="77777777" w:rsidTr="00D02052">
        <w:trPr>
          <w:trHeight w:val="591"/>
        </w:trPr>
        <w:tc>
          <w:tcPr>
            <w:tcW w:w="339" w:type="pct"/>
            <w:shd w:val="clear" w:color="auto" w:fill="auto"/>
            <w:vAlign w:val="center"/>
          </w:tcPr>
          <w:p w14:paraId="79FB1F73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1</w:t>
            </w:r>
          </w:p>
        </w:tc>
        <w:tc>
          <w:tcPr>
            <w:tcW w:w="2790" w:type="pct"/>
            <w:vAlign w:val="center"/>
          </w:tcPr>
          <w:p w14:paraId="31F27996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>Длина памп-трека (по средней линии поверхности движения, не менее), м</w:t>
            </w:r>
          </w:p>
        </w:tc>
        <w:tc>
          <w:tcPr>
            <w:tcW w:w="1871" w:type="pct"/>
            <w:vAlign w:val="center"/>
          </w:tcPr>
          <w:p w14:paraId="3E2F3E3E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65</w:t>
            </w:r>
          </w:p>
        </w:tc>
      </w:tr>
      <w:tr w:rsidR="00E662C0" w:rsidRPr="009416BE" w14:paraId="573041B0" w14:textId="77777777" w:rsidTr="00D02052">
        <w:trPr>
          <w:trHeight w:val="699"/>
        </w:trPr>
        <w:tc>
          <w:tcPr>
            <w:tcW w:w="339" w:type="pct"/>
            <w:shd w:val="clear" w:color="auto" w:fill="auto"/>
            <w:vAlign w:val="center"/>
          </w:tcPr>
          <w:p w14:paraId="30CEA9CC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2</w:t>
            </w:r>
          </w:p>
        </w:tc>
        <w:tc>
          <w:tcPr>
            <w:tcW w:w="2790" w:type="pct"/>
            <w:vAlign w:val="center"/>
          </w:tcPr>
          <w:p w14:paraId="0354B441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 xml:space="preserve">Габаритные размеры трека </w:t>
            </w:r>
          </w:p>
          <w:p w14:paraId="6393DD7B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>Длина х ширина не менее, м</w:t>
            </w:r>
          </w:p>
        </w:tc>
        <w:tc>
          <w:tcPr>
            <w:tcW w:w="1871" w:type="pct"/>
            <w:vAlign w:val="center"/>
          </w:tcPr>
          <w:p w14:paraId="3AA4968C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26 х12</w:t>
            </w:r>
          </w:p>
        </w:tc>
      </w:tr>
      <w:tr w:rsidR="00E662C0" w:rsidRPr="009416BE" w14:paraId="57549ED0" w14:textId="77777777" w:rsidTr="00D02052">
        <w:trPr>
          <w:trHeight w:val="860"/>
        </w:trPr>
        <w:tc>
          <w:tcPr>
            <w:tcW w:w="339" w:type="pct"/>
            <w:shd w:val="clear" w:color="auto" w:fill="auto"/>
            <w:vAlign w:val="center"/>
          </w:tcPr>
          <w:p w14:paraId="7154EC0E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3</w:t>
            </w:r>
          </w:p>
        </w:tc>
        <w:tc>
          <w:tcPr>
            <w:tcW w:w="2790" w:type="pct"/>
            <w:vAlign w:val="center"/>
          </w:tcPr>
          <w:p w14:paraId="61F0BD3C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>Размер площадки, требуемый для установки трека длина х ширина не менее, м</w:t>
            </w:r>
          </w:p>
        </w:tc>
        <w:tc>
          <w:tcPr>
            <w:tcW w:w="1871" w:type="pct"/>
            <w:vAlign w:val="center"/>
          </w:tcPr>
          <w:p w14:paraId="6B989337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30 х 16</w:t>
            </w:r>
          </w:p>
        </w:tc>
      </w:tr>
      <w:tr w:rsidR="00E662C0" w:rsidRPr="009416BE" w14:paraId="7376312F" w14:textId="77777777" w:rsidTr="00D02052">
        <w:trPr>
          <w:trHeight w:val="527"/>
        </w:trPr>
        <w:tc>
          <w:tcPr>
            <w:tcW w:w="339" w:type="pct"/>
            <w:shd w:val="clear" w:color="auto" w:fill="auto"/>
            <w:vAlign w:val="center"/>
          </w:tcPr>
          <w:p w14:paraId="645D78E3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790" w:type="pct"/>
            <w:vAlign w:val="center"/>
          </w:tcPr>
          <w:p w14:paraId="70F388CF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 xml:space="preserve">Ширина полосы движения (не менее) мм </w:t>
            </w:r>
          </w:p>
        </w:tc>
        <w:tc>
          <w:tcPr>
            <w:tcW w:w="1871" w:type="pct"/>
            <w:vAlign w:val="center"/>
          </w:tcPr>
          <w:p w14:paraId="49D46010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980</w:t>
            </w:r>
          </w:p>
        </w:tc>
      </w:tr>
      <w:tr w:rsidR="00E662C0" w:rsidRPr="009416BE" w14:paraId="69E53361" w14:textId="77777777" w:rsidTr="00D02052">
        <w:trPr>
          <w:trHeight w:val="527"/>
        </w:trPr>
        <w:tc>
          <w:tcPr>
            <w:tcW w:w="339" w:type="pct"/>
            <w:shd w:val="clear" w:color="auto" w:fill="auto"/>
            <w:vAlign w:val="center"/>
          </w:tcPr>
          <w:p w14:paraId="1849BD15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5</w:t>
            </w:r>
          </w:p>
        </w:tc>
        <w:tc>
          <w:tcPr>
            <w:tcW w:w="2790" w:type="pct"/>
            <w:vAlign w:val="center"/>
          </w:tcPr>
          <w:p w14:paraId="5FE77C69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 xml:space="preserve">Ширина полосы движения (не более) мм </w:t>
            </w:r>
          </w:p>
        </w:tc>
        <w:tc>
          <w:tcPr>
            <w:tcW w:w="1871" w:type="pct"/>
            <w:vAlign w:val="center"/>
          </w:tcPr>
          <w:p w14:paraId="4E9CA14F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1010</w:t>
            </w:r>
          </w:p>
        </w:tc>
      </w:tr>
      <w:tr w:rsidR="00E662C0" w:rsidRPr="009416BE" w14:paraId="40F29848" w14:textId="77777777" w:rsidTr="00D02052">
        <w:trPr>
          <w:trHeight w:val="563"/>
        </w:trPr>
        <w:tc>
          <w:tcPr>
            <w:tcW w:w="339" w:type="pct"/>
            <w:shd w:val="clear" w:color="auto" w:fill="auto"/>
            <w:vAlign w:val="center"/>
          </w:tcPr>
          <w:p w14:paraId="18F10EB8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6</w:t>
            </w:r>
          </w:p>
        </w:tc>
        <w:tc>
          <w:tcPr>
            <w:tcW w:w="2790" w:type="pct"/>
            <w:vAlign w:val="center"/>
          </w:tcPr>
          <w:p w14:paraId="72CE73B2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>Количество модулей, шт</w:t>
            </w:r>
          </w:p>
        </w:tc>
        <w:tc>
          <w:tcPr>
            <w:tcW w:w="1871" w:type="pct"/>
            <w:vAlign w:val="center"/>
          </w:tcPr>
          <w:p w14:paraId="75395F1C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не менее 55</w:t>
            </w:r>
          </w:p>
          <w:p w14:paraId="3502A14B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iCs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iCs/>
                <w:sz w:val="24"/>
                <w:szCs w:val="24"/>
              </w:rPr>
              <w:t>не более 57</w:t>
            </w:r>
          </w:p>
        </w:tc>
      </w:tr>
      <w:tr w:rsidR="00E662C0" w:rsidRPr="009416BE" w14:paraId="50E32B52" w14:textId="77777777" w:rsidTr="00D02052">
        <w:trPr>
          <w:trHeight w:val="543"/>
        </w:trPr>
        <w:tc>
          <w:tcPr>
            <w:tcW w:w="339" w:type="pct"/>
            <w:shd w:val="clear" w:color="auto" w:fill="auto"/>
            <w:vAlign w:val="center"/>
          </w:tcPr>
          <w:p w14:paraId="35C8DA6C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7</w:t>
            </w:r>
          </w:p>
        </w:tc>
        <w:tc>
          <w:tcPr>
            <w:tcW w:w="2790" w:type="pct"/>
            <w:vAlign w:val="center"/>
          </w:tcPr>
          <w:p w14:paraId="75703A05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 xml:space="preserve">Ширина стыковых зазоров на поверхности катания, мм не более смыкание 2 соседних модулей ссылка на </w:t>
            </w:r>
            <w:r w:rsidRPr="009416BE">
              <w:rPr>
                <w:rFonts w:ascii="Times New Roman" w:eastAsia="Calibri" w:hAnsi="Times New Roman"/>
                <w:sz w:val="24"/>
                <w:szCs w:val="24"/>
              </w:rPr>
              <w:t>ГОСТ Р 52169</w:t>
            </w:r>
          </w:p>
        </w:tc>
        <w:tc>
          <w:tcPr>
            <w:tcW w:w="1871" w:type="pct"/>
            <w:vAlign w:val="center"/>
          </w:tcPr>
          <w:p w14:paraId="6D6EDB62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</w:tr>
      <w:tr w:rsidR="00E662C0" w:rsidRPr="009416BE" w14:paraId="70D10B37" w14:textId="77777777" w:rsidTr="00D02052">
        <w:trPr>
          <w:trHeight w:val="543"/>
        </w:trPr>
        <w:tc>
          <w:tcPr>
            <w:tcW w:w="339" w:type="pct"/>
            <w:shd w:val="clear" w:color="auto" w:fill="auto"/>
            <w:vAlign w:val="center"/>
          </w:tcPr>
          <w:p w14:paraId="3601D835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8</w:t>
            </w:r>
          </w:p>
        </w:tc>
        <w:tc>
          <w:tcPr>
            <w:tcW w:w="2790" w:type="pct"/>
            <w:vAlign w:val="center"/>
          </w:tcPr>
          <w:p w14:paraId="7FD046E9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 xml:space="preserve">Высота волн памп-трека от поверхности площадки, (не более), мм </w:t>
            </w:r>
          </w:p>
        </w:tc>
        <w:tc>
          <w:tcPr>
            <w:tcW w:w="1871" w:type="pct"/>
            <w:vAlign w:val="center"/>
          </w:tcPr>
          <w:p w14:paraId="743D5ACB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480</w:t>
            </w:r>
          </w:p>
        </w:tc>
      </w:tr>
      <w:tr w:rsidR="00E662C0" w:rsidRPr="009416BE" w14:paraId="567AEEEE" w14:textId="77777777" w:rsidTr="00D02052">
        <w:trPr>
          <w:trHeight w:val="543"/>
        </w:trPr>
        <w:tc>
          <w:tcPr>
            <w:tcW w:w="339" w:type="pct"/>
            <w:shd w:val="clear" w:color="auto" w:fill="auto"/>
            <w:vAlign w:val="center"/>
          </w:tcPr>
          <w:p w14:paraId="1EA8255C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9</w:t>
            </w:r>
          </w:p>
        </w:tc>
        <w:tc>
          <w:tcPr>
            <w:tcW w:w="2790" w:type="pct"/>
            <w:vAlign w:val="center"/>
          </w:tcPr>
          <w:p w14:paraId="33ADEEF3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sz w:val="24"/>
                <w:szCs w:val="24"/>
              </w:rPr>
              <w:t>Длина модуля волны (</w:t>
            </w:r>
            <w:r w:rsidRPr="009416BE">
              <w:rPr>
                <w:rFonts w:ascii="Times New Roman" w:hAnsi="Times New Roman"/>
                <w:sz w:val="24"/>
                <w:szCs w:val="24"/>
                <w:lang w:val="en-US"/>
              </w:rPr>
              <w:t>bump</w:t>
            </w:r>
            <w:r w:rsidRPr="009416BE">
              <w:rPr>
                <w:rFonts w:ascii="Times New Roman" w:hAnsi="Times New Roman"/>
                <w:sz w:val="24"/>
                <w:szCs w:val="24"/>
              </w:rPr>
              <w:t>) памп-трека, мм</w:t>
            </w:r>
          </w:p>
        </w:tc>
        <w:tc>
          <w:tcPr>
            <w:tcW w:w="1871" w:type="pct"/>
            <w:vAlign w:val="center"/>
          </w:tcPr>
          <w:p w14:paraId="32B4A06B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не менее 1950</w:t>
            </w:r>
          </w:p>
        </w:tc>
      </w:tr>
      <w:tr w:rsidR="00E662C0" w:rsidRPr="009416BE" w14:paraId="24BAA5DF" w14:textId="77777777" w:rsidTr="00D02052">
        <w:trPr>
          <w:trHeight w:val="559"/>
        </w:trPr>
        <w:tc>
          <w:tcPr>
            <w:tcW w:w="339" w:type="pct"/>
            <w:shd w:val="clear" w:color="auto" w:fill="auto"/>
            <w:vAlign w:val="center"/>
          </w:tcPr>
          <w:p w14:paraId="452CF3EE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10</w:t>
            </w:r>
          </w:p>
        </w:tc>
        <w:tc>
          <w:tcPr>
            <w:tcW w:w="2790" w:type="pct"/>
            <w:vAlign w:val="center"/>
          </w:tcPr>
          <w:p w14:paraId="6896D8A3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16BE">
              <w:rPr>
                <w:rFonts w:ascii="Times New Roman" w:hAnsi="Times New Roman"/>
                <w:iCs/>
                <w:sz w:val="24"/>
                <w:szCs w:val="24"/>
              </w:rPr>
              <w:t>Ширина крепежных фланцев (не менее), мм</w:t>
            </w:r>
          </w:p>
        </w:tc>
        <w:tc>
          <w:tcPr>
            <w:tcW w:w="1871" w:type="pct"/>
            <w:vAlign w:val="center"/>
          </w:tcPr>
          <w:p w14:paraId="7E01C39F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32</w:t>
            </w:r>
          </w:p>
        </w:tc>
      </w:tr>
      <w:tr w:rsidR="00E662C0" w:rsidRPr="009416BE" w14:paraId="7A765E75" w14:textId="77777777" w:rsidTr="00D02052">
        <w:trPr>
          <w:trHeight w:val="559"/>
        </w:trPr>
        <w:tc>
          <w:tcPr>
            <w:tcW w:w="339" w:type="pct"/>
            <w:shd w:val="clear" w:color="auto" w:fill="auto"/>
            <w:vAlign w:val="center"/>
          </w:tcPr>
          <w:p w14:paraId="277A2046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11</w:t>
            </w:r>
          </w:p>
        </w:tc>
        <w:tc>
          <w:tcPr>
            <w:tcW w:w="2790" w:type="pct"/>
            <w:vAlign w:val="center"/>
          </w:tcPr>
          <w:p w14:paraId="1334E31E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16BE">
              <w:rPr>
                <w:rFonts w:ascii="Times New Roman" w:hAnsi="Times New Roman"/>
                <w:iCs/>
                <w:sz w:val="24"/>
                <w:szCs w:val="24"/>
              </w:rPr>
              <w:t>Вес для удобства перемещения на малогабаритном транспорте всех модулей (не более), кг</w:t>
            </w:r>
          </w:p>
        </w:tc>
        <w:tc>
          <w:tcPr>
            <w:tcW w:w="1871" w:type="pct"/>
            <w:vAlign w:val="center"/>
          </w:tcPr>
          <w:p w14:paraId="6EF9A686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1</w:t>
            </w: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200</w:t>
            </w:r>
          </w:p>
        </w:tc>
      </w:tr>
      <w:tr w:rsidR="00E662C0" w:rsidRPr="009416BE" w14:paraId="2138BE54" w14:textId="77777777" w:rsidTr="00D02052">
        <w:trPr>
          <w:trHeight w:val="408"/>
        </w:trPr>
        <w:tc>
          <w:tcPr>
            <w:tcW w:w="339" w:type="pct"/>
            <w:shd w:val="clear" w:color="auto" w:fill="auto"/>
            <w:vAlign w:val="center"/>
          </w:tcPr>
          <w:p w14:paraId="2A12B168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12</w:t>
            </w:r>
          </w:p>
        </w:tc>
        <w:tc>
          <w:tcPr>
            <w:tcW w:w="2790" w:type="pct"/>
            <w:vAlign w:val="center"/>
          </w:tcPr>
          <w:p w14:paraId="2A2CA2D9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16BE">
              <w:rPr>
                <w:rFonts w:ascii="Times New Roman" w:hAnsi="Times New Roman"/>
                <w:iCs/>
                <w:sz w:val="24"/>
                <w:szCs w:val="24"/>
              </w:rPr>
              <w:t>Расчетный срок службы (не менее), лет</w:t>
            </w:r>
          </w:p>
        </w:tc>
        <w:tc>
          <w:tcPr>
            <w:tcW w:w="1871" w:type="pct"/>
            <w:vAlign w:val="center"/>
          </w:tcPr>
          <w:p w14:paraId="0D701DED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10</w:t>
            </w:r>
          </w:p>
        </w:tc>
      </w:tr>
      <w:tr w:rsidR="00E662C0" w:rsidRPr="009416BE" w14:paraId="722B6EC9" w14:textId="77777777" w:rsidTr="00D02052">
        <w:trPr>
          <w:trHeight w:val="414"/>
        </w:trPr>
        <w:tc>
          <w:tcPr>
            <w:tcW w:w="339" w:type="pct"/>
            <w:shd w:val="clear" w:color="auto" w:fill="auto"/>
            <w:vAlign w:val="center"/>
          </w:tcPr>
          <w:p w14:paraId="18EA5CF5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13</w:t>
            </w:r>
          </w:p>
        </w:tc>
        <w:tc>
          <w:tcPr>
            <w:tcW w:w="2790" w:type="pct"/>
            <w:vAlign w:val="center"/>
          </w:tcPr>
          <w:p w14:paraId="71FCDE92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16BE">
              <w:rPr>
                <w:rFonts w:ascii="Times New Roman" w:hAnsi="Times New Roman"/>
                <w:iCs/>
                <w:sz w:val="24"/>
                <w:szCs w:val="24"/>
              </w:rPr>
              <w:t>Срок Гарантии (не менее), месяцев но не менее гарантии производителя</w:t>
            </w:r>
          </w:p>
        </w:tc>
        <w:tc>
          <w:tcPr>
            <w:tcW w:w="1871" w:type="pct"/>
            <w:vAlign w:val="center"/>
          </w:tcPr>
          <w:p w14:paraId="0CF37064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>36</w:t>
            </w:r>
          </w:p>
        </w:tc>
      </w:tr>
      <w:tr w:rsidR="00E662C0" w:rsidRPr="009416BE" w14:paraId="6C5FD468" w14:textId="77777777" w:rsidTr="00D02052">
        <w:trPr>
          <w:trHeight w:val="4304"/>
        </w:trPr>
        <w:tc>
          <w:tcPr>
            <w:tcW w:w="339" w:type="pct"/>
            <w:shd w:val="clear" w:color="auto" w:fill="auto"/>
            <w:vAlign w:val="center"/>
          </w:tcPr>
          <w:p w14:paraId="074619A5" w14:textId="77777777" w:rsidR="00E662C0" w:rsidRPr="009416BE" w:rsidRDefault="00E662C0" w:rsidP="00D02052">
            <w:pPr>
              <w:pStyle w:val="a7"/>
              <w:jc w:val="center"/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</w:pPr>
            <w:r w:rsidRPr="009416BE">
              <w:rPr>
                <w:rFonts w:ascii="Times New Roman" w:eastAsiaTheme="minorEastAsia" w:hAnsi="Times New Roman"/>
                <w:noProof/>
                <w:sz w:val="24"/>
                <w:szCs w:val="24"/>
                <w:lang w:val="en-US"/>
              </w:rPr>
              <w:t>14</w:t>
            </w:r>
          </w:p>
        </w:tc>
        <w:tc>
          <w:tcPr>
            <w:tcW w:w="4661" w:type="pct"/>
            <w:gridSpan w:val="2"/>
            <w:vAlign w:val="center"/>
          </w:tcPr>
          <w:p w14:paraId="275295E6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16BE">
              <w:rPr>
                <w:rFonts w:ascii="Times New Roman" w:hAnsi="Times New Roman"/>
                <w:iCs/>
                <w:sz w:val="24"/>
                <w:szCs w:val="24"/>
              </w:rPr>
              <w:t>Конфигурация памп-трека</w:t>
            </w:r>
          </w:p>
          <w:p w14:paraId="264D72EC" w14:textId="77777777" w:rsidR="00E662C0" w:rsidRPr="009416BE" w:rsidRDefault="00E662C0" w:rsidP="00D02052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16B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14:paraId="043E7D76" w14:textId="77777777" w:rsidR="00E662C0" w:rsidRPr="009416BE" w:rsidRDefault="00E662C0" w:rsidP="00D02052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416BE">
              <w:rPr>
                <w:rFonts w:ascii="Times New Roman" w:hAnsi="Times New Roman"/>
                <w:noProof/>
              </w:rPr>
              <w:drawing>
                <wp:inline distT="0" distB="0" distL="0" distR="0" wp14:anchorId="0E5C3118" wp14:editId="01D4317A">
                  <wp:extent cx="3124200" cy="2196393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465" cy="2206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416BE">
              <w:rPr>
                <w:rFonts w:ascii="Times New Roman" w:eastAsiaTheme="minorEastAsia" w:hAnsi="Times New Roman"/>
                <w:sz w:val="24"/>
                <w:szCs w:val="24"/>
              </w:rPr>
              <w:t xml:space="preserve">                                                                           </w:t>
            </w:r>
          </w:p>
        </w:tc>
      </w:tr>
    </w:tbl>
    <w:p w14:paraId="336490FE" w14:textId="77777777" w:rsidR="00E662C0" w:rsidRPr="009416BE" w:rsidRDefault="00E662C0" w:rsidP="00E662C0">
      <w:pPr>
        <w:rPr>
          <w:rFonts w:ascii="Times New Roman" w:hAnsi="Times New Roman"/>
          <w:sz w:val="24"/>
          <w:szCs w:val="24"/>
        </w:rPr>
      </w:pPr>
    </w:p>
    <w:p w14:paraId="341B39D0" w14:textId="77777777" w:rsidR="00E662C0" w:rsidRPr="009416BE" w:rsidRDefault="00E662C0" w:rsidP="00E662C0">
      <w:pPr>
        <w:jc w:val="both"/>
        <w:rPr>
          <w:rFonts w:ascii="Times New Roman" w:hAnsi="Times New Roman"/>
          <w:bCs/>
          <w:iCs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 xml:space="preserve">Поставляемый Товар должен быть выпущен не ранее 2022 года, не бывшим </w:t>
      </w:r>
      <w:r w:rsidRPr="009416BE">
        <w:rPr>
          <w:rFonts w:ascii="Times New Roman" w:hAnsi="Times New Roman"/>
          <w:iCs/>
          <w:sz w:val="24"/>
          <w:szCs w:val="24"/>
        </w:rPr>
        <w:t xml:space="preserve">в </w:t>
      </w:r>
      <w:r w:rsidRPr="009416BE">
        <w:rPr>
          <w:rFonts w:ascii="Times New Roman" w:hAnsi="Times New Roman"/>
          <w:bCs/>
          <w:iCs/>
          <w:sz w:val="24"/>
          <w:szCs w:val="24"/>
        </w:rPr>
        <w:t>эксплуатации, свободным от прав третьих лиц, не иметь дефектов, связанных с конструкцией, материалами или функционированием при штатном их использовании в обычных условиях, не являться предметом спора, не находиться в залоге, под арестом или иным обременением.</w:t>
      </w:r>
    </w:p>
    <w:p w14:paraId="1385BCBA" w14:textId="77777777" w:rsidR="00E662C0" w:rsidRPr="009416BE" w:rsidRDefault="00E662C0" w:rsidP="00E662C0">
      <w:pPr>
        <w:jc w:val="both"/>
        <w:rPr>
          <w:rFonts w:ascii="Times New Roman" w:hAnsi="Times New Roman"/>
          <w:iCs/>
          <w:sz w:val="24"/>
          <w:szCs w:val="24"/>
        </w:rPr>
      </w:pPr>
      <w:r w:rsidRPr="009416BE">
        <w:rPr>
          <w:rFonts w:ascii="Times New Roman" w:eastAsia="DejaVu Sans" w:hAnsi="Times New Roman"/>
          <w:iCs/>
          <w:kern w:val="1"/>
          <w:sz w:val="24"/>
          <w:szCs w:val="24"/>
          <w:lang w:eastAsia="ar-SA"/>
        </w:rPr>
        <w:t xml:space="preserve">Поставка товара должна включать доставку, разгрузку и монтаж по адресу поставки товара. Срок поставки с установкой и монтажом – в течение ХХ дней с даты заключения контракта. </w:t>
      </w:r>
      <w:r w:rsidRPr="009416BE">
        <w:rPr>
          <w:rStyle w:val="fontstyle01"/>
          <w:rFonts w:ascii="Times New Roman" w:hAnsi="Times New Roman"/>
          <w:iCs/>
        </w:rPr>
        <w:t>Поставщик самостоятельно или с привлечением третьих лиц за свой счет, обязан обеспечить выполнение работ по сборке и монтажу памп-трека</w:t>
      </w:r>
      <w:r w:rsidRPr="009416BE">
        <w:rPr>
          <w:rFonts w:ascii="Times New Roman" w:hAnsi="Times New Roman"/>
          <w:sz w:val="24"/>
          <w:szCs w:val="24"/>
        </w:rPr>
        <w:t>.</w:t>
      </w:r>
    </w:p>
    <w:p w14:paraId="0CA5EF16" w14:textId="77777777" w:rsidR="00E662C0" w:rsidRPr="009416BE" w:rsidRDefault="00E662C0" w:rsidP="00E662C0">
      <w:pPr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14:paraId="54D1C55B" w14:textId="77777777" w:rsidR="00E662C0" w:rsidRPr="009416BE" w:rsidRDefault="00E662C0" w:rsidP="00E662C0">
      <w:pPr>
        <w:jc w:val="both"/>
        <w:rPr>
          <w:rFonts w:ascii="Times New Roman" w:eastAsia="Calibri" w:hAnsi="Times New Roman"/>
          <w:iCs/>
          <w:sz w:val="24"/>
          <w:szCs w:val="24"/>
        </w:rPr>
      </w:pPr>
      <w:r w:rsidRPr="009416BE">
        <w:rPr>
          <w:rFonts w:ascii="Times New Roman" w:eastAsia="Calibri" w:hAnsi="Times New Roman"/>
          <w:iCs/>
          <w:sz w:val="24"/>
          <w:szCs w:val="24"/>
        </w:rPr>
        <w:lastRenderedPageBreak/>
        <w:t>Соответствие предлагаемого товара требованиям аукционной документации, в том числе требованиям технического задания и проекта государственного контракта должно быть подтверждено участником закупки следующим документом:</w:t>
      </w:r>
    </w:p>
    <w:p w14:paraId="0E8D0DE7" w14:textId="77777777" w:rsidR="00E662C0" w:rsidRPr="009416BE" w:rsidRDefault="00E662C0" w:rsidP="00E662C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/>
          <w:iCs/>
          <w:sz w:val="24"/>
          <w:szCs w:val="24"/>
        </w:rPr>
      </w:pPr>
      <w:r w:rsidRPr="009416BE">
        <w:rPr>
          <w:rFonts w:ascii="Times New Roman" w:eastAsia="Calibri" w:hAnsi="Times New Roman"/>
          <w:iCs/>
          <w:sz w:val="24"/>
          <w:szCs w:val="24"/>
        </w:rPr>
        <w:t>сертификат соответствия на товар, включая перечень принадлежностей к нему (копия), для товара, по которому наличие данного документа является обязательным в соответствии с требованиями, установленными в Российской Федерации. Копия указанного документа должна быть представлена участником закупки в составе первой части заявки на участие в электронном аукционе;</w:t>
      </w:r>
    </w:p>
    <w:p w14:paraId="545B023A" w14:textId="77777777" w:rsidR="00E662C0" w:rsidRPr="009416BE" w:rsidRDefault="00E662C0" w:rsidP="00E662C0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416BE">
        <w:rPr>
          <w:rFonts w:ascii="Times New Roman" w:hAnsi="Times New Roman"/>
          <w:sz w:val="24"/>
          <w:szCs w:val="24"/>
        </w:rPr>
        <w:t>Поставщик, выбранный в результате торгов в подтверждение наличия у него композитной технологии, обязан выслать образцы полимерного композита размером 150 х 150 мм, в количестве, равном количеству цветов модулей по настоящему техническому заданию. Указанные образцы и поясняющие к ним документы должны быть высланы в течение 1 недели с момента публикации результатов конкурса.</w:t>
      </w:r>
    </w:p>
    <w:p w14:paraId="42714476" w14:textId="77777777" w:rsidR="00E662C0" w:rsidRPr="009416BE" w:rsidRDefault="00E662C0" w:rsidP="00E662C0">
      <w:pPr>
        <w:jc w:val="both"/>
        <w:rPr>
          <w:rFonts w:ascii="Times New Roman" w:eastAsia="Calibri" w:hAnsi="Times New Roman"/>
          <w:iCs/>
          <w:sz w:val="24"/>
          <w:szCs w:val="24"/>
        </w:rPr>
      </w:pPr>
      <w:r w:rsidRPr="009416BE">
        <w:rPr>
          <w:rFonts w:ascii="Times New Roman" w:eastAsia="Calibri" w:hAnsi="Times New Roman"/>
          <w:iCs/>
          <w:sz w:val="24"/>
          <w:szCs w:val="24"/>
        </w:rPr>
        <w:t>Копия указанного документа должна быть представлена участником закупки в составе первой части заявки на участие в электронном аукционе, за исключением случаев, если в соответствии с действующим законодательством такие документы передаются одновременно с товаром.</w:t>
      </w:r>
    </w:p>
    <w:p w14:paraId="363C9027" w14:textId="77777777" w:rsidR="00E662C0" w:rsidRDefault="00E662C0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61C0D2D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4D324187" w14:textId="530E6CEA" w:rsidR="00C25DED" w:rsidRDefault="00E9725E" w:rsidP="00E9725E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04CAD639" wp14:editId="743FEA5A">
            <wp:extent cx="6292850" cy="4679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8AB24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139A486A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0D8D729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9C312C4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B3BF00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9B315A8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652796A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111876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lastRenderedPageBreak/>
        <w:t>Приложение 2</w:t>
      </w:r>
    </w:p>
    <w:p w14:paraId="76E43D42" w14:textId="77777777" w:rsidR="00C25DED" w:rsidRPr="00B64CE0" w:rsidRDefault="00C25DED" w:rsidP="00C25DED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2D0F02D7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33ECC14E" w14:textId="61A48D78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от </w:t>
      </w:r>
      <w:r w:rsidR="005B6502">
        <w:rPr>
          <w:rFonts w:ascii="Times New Roman" w:hAnsi="Times New Roman"/>
          <w:bCs/>
          <w:color w:val="000000"/>
          <w:sz w:val="24"/>
          <w:szCs w:val="24"/>
        </w:rPr>
        <w:t xml:space="preserve">24 мая 2022 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года № </w:t>
      </w:r>
      <w:r w:rsidR="005B6502">
        <w:rPr>
          <w:rFonts w:ascii="Times New Roman" w:hAnsi="Times New Roman"/>
          <w:bCs/>
          <w:color w:val="000000"/>
          <w:sz w:val="24"/>
          <w:szCs w:val="24"/>
        </w:rPr>
        <w:t>85/14</w:t>
      </w:r>
    </w:p>
    <w:p w14:paraId="1CC0A6F4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D19B69" w14:textId="77777777" w:rsidR="00C25DED" w:rsidRPr="00B64CE0" w:rsidRDefault="00C25DED" w:rsidP="00C25DED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7543CA88" w14:textId="77777777" w:rsidR="00C25DED" w:rsidRPr="00B64CE0" w:rsidRDefault="00C25DED" w:rsidP="00C25DED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143"/>
        <w:gridCol w:w="2069"/>
        <w:gridCol w:w="2124"/>
        <w:gridCol w:w="1719"/>
      </w:tblGrid>
      <w:tr w:rsidR="00C25DED" w:rsidRPr="00B64CE0" w14:paraId="0C0694FB" w14:textId="77777777" w:rsidTr="0051180D">
        <w:tc>
          <w:tcPr>
            <w:tcW w:w="856" w:type="dxa"/>
          </w:tcPr>
          <w:p w14:paraId="44BDB6D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143" w:type="dxa"/>
          </w:tcPr>
          <w:p w14:paraId="3D1D5F68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2069" w:type="dxa"/>
          </w:tcPr>
          <w:p w14:paraId="2AE1DCD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35E1151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16F21089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5F7105B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0DF48B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798A486D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97CD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C25DED" w:rsidRPr="00B64CE0" w14:paraId="2AB3CABC" w14:textId="77777777" w:rsidTr="0051180D">
        <w:tc>
          <w:tcPr>
            <w:tcW w:w="856" w:type="dxa"/>
          </w:tcPr>
          <w:p w14:paraId="738E0AF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143" w:type="dxa"/>
          </w:tcPr>
          <w:p w14:paraId="2B4899C0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69" w:type="dxa"/>
          </w:tcPr>
          <w:p w14:paraId="1B3F2EB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61F1209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7A7D0EF5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25DED" w:rsidRPr="00B64CE0" w14:paraId="37A7939A" w14:textId="77777777" w:rsidTr="0051180D">
        <w:trPr>
          <w:trHeight w:val="465"/>
        </w:trPr>
        <w:tc>
          <w:tcPr>
            <w:tcW w:w="856" w:type="dxa"/>
          </w:tcPr>
          <w:p w14:paraId="4E756058" w14:textId="77777777" w:rsidR="00C25DED" w:rsidRPr="00B64CE0" w:rsidRDefault="00C25DED" w:rsidP="005118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4CE0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43" w:type="dxa"/>
            <w:vAlign w:val="center"/>
          </w:tcPr>
          <w:p w14:paraId="326722BA" w14:textId="7694800A" w:rsidR="00C25DED" w:rsidRPr="00B64CE0" w:rsidRDefault="00E662C0" w:rsidP="0051180D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ул. Академика Пилюгина, д. 12, к. 2, д. 14, к. 2 (двор между домами)</w:t>
            </w:r>
          </w:p>
        </w:tc>
        <w:tc>
          <w:tcPr>
            <w:tcW w:w="2069" w:type="dxa"/>
          </w:tcPr>
          <w:p w14:paraId="39AC073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14:paraId="179CE9E6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79C5E3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710D08" w14:textId="77777777" w:rsidR="00C25DED" w:rsidRDefault="00C25DED" w:rsidP="00C25DED"/>
    <w:p w14:paraId="050DC36D" w14:textId="77777777" w:rsidR="00C25DED" w:rsidRDefault="00C25DED" w:rsidP="00C25DED"/>
    <w:p w14:paraId="7213941E" w14:textId="77777777" w:rsidR="00C25DED" w:rsidRDefault="00C25DED"/>
    <w:sectPr w:rsidR="00C25DED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DejaVu Sans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39D3"/>
    <w:multiLevelType w:val="hybridMultilevel"/>
    <w:tmpl w:val="A19A331E"/>
    <w:lvl w:ilvl="0" w:tplc="75EECA62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FBC367F"/>
    <w:multiLevelType w:val="hybridMultilevel"/>
    <w:tmpl w:val="FE025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176BD"/>
    <w:multiLevelType w:val="hybridMultilevel"/>
    <w:tmpl w:val="246215C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00855">
    <w:abstractNumId w:val="3"/>
  </w:num>
  <w:num w:numId="2" w16cid:durableId="499975030">
    <w:abstractNumId w:val="2"/>
  </w:num>
  <w:num w:numId="3" w16cid:durableId="1744521810">
    <w:abstractNumId w:val="0"/>
  </w:num>
  <w:num w:numId="4" w16cid:durableId="16741833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ED"/>
    <w:rsid w:val="001F3D1B"/>
    <w:rsid w:val="005B6502"/>
    <w:rsid w:val="00C25DED"/>
    <w:rsid w:val="00D167DD"/>
    <w:rsid w:val="00E662C0"/>
    <w:rsid w:val="00E9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2E43"/>
  <w15:chartTrackingRefBased/>
  <w15:docId w15:val="{F46E89D3-CE57-4426-B21D-EFB2D597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D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5DE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25D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25DED"/>
    <w:pPr>
      <w:ind w:left="720"/>
      <w:contextualSpacing/>
    </w:pPr>
  </w:style>
  <w:style w:type="table" w:styleId="a6">
    <w:name w:val="Table Grid"/>
    <w:basedOn w:val="a1"/>
    <w:uiPriority w:val="59"/>
    <w:rsid w:val="00C2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E662C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01">
    <w:name w:val="fontstyle01"/>
    <w:basedOn w:val="a0"/>
    <w:rsid w:val="00E662C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1831</Words>
  <Characters>10441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Светлана Епифанова</cp:lastModifiedBy>
  <cp:revision>4</cp:revision>
  <dcterms:created xsi:type="dcterms:W3CDTF">2022-05-17T08:33:00Z</dcterms:created>
  <dcterms:modified xsi:type="dcterms:W3CDTF">2022-05-20T10:17:00Z</dcterms:modified>
</cp:coreProperties>
</file>