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Информация руководителя </w:t>
      </w:r>
    </w:p>
    <w:p w:rsidR="00000000" w:rsidDel="00000000" w:rsidP="00000000" w:rsidRDefault="00000000" w:rsidRPr="00000000" w14:paraId="00000001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ГБУЗ «Городская поликлиника № 22 ДЗМ»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both"/>
        <w:rPr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Адрес поликлиники в сети интернет: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www.gp22.ru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ГБУЗ "Городская поликлиника № 22 ДЗМ" &lt; gp22@zdrav.mos.ru&gt;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ГБУЗ «ГП № 22 ДЗМ» прикреплено подтвержденного  населения  по данным МГФОМС  на 09.01.2019 года  205366 человек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284" w:firstLine="992.0000000000002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ГП № 22                                          36691 человек</w:t>
      </w:r>
    </w:p>
    <w:p w:rsidR="00000000" w:rsidDel="00000000" w:rsidP="00000000" w:rsidRDefault="00000000" w:rsidRPr="00000000" w14:paraId="00000007">
      <w:pPr>
        <w:spacing w:after="0" w:line="240" w:lineRule="auto"/>
        <w:ind w:left="-284" w:firstLine="992.0000000000002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Филиал №1(ГП10)                         46143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человек</w:t>
      </w:r>
    </w:p>
    <w:p w:rsidR="00000000" w:rsidDel="00000000" w:rsidP="00000000" w:rsidRDefault="00000000" w:rsidRPr="00000000" w14:paraId="00000008">
      <w:pPr>
        <w:spacing w:after="0" w:line="240" w:lineRule="auto"/>
        <w:ind w:left="-284" w:firstLine="992.0000000000002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Филиал №2(ГП53)                         31020  человек</w:t>
      </w:r>
    </w:p>
    <w:p w:rsidR="00000000" w:rsidDel="00000000" w:rsidP="00000000" w:rsidRDefault="00000000" w:rsidRPr="00000000" w14:paraId="00000009">
      <w:pPr>
        <w:spacing w:after="0" w:line="240" w:lineRule="auto"/>
        <w:ind w:left="-284" w:firstLine="992.0000000000002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Филиал №3(ГП60)                         31834  человек</w:t>
      </w:r>
    </w:p>
    <w:p w:rsidR="00000000" w:rsidDel="00000000" w:rsidP="00000000" w:rsidRDefault="00000000" w:rsidRPr="00000000" w14:paraId="0000000A">
      <w:pPr>
        <w:spacing w:after="0" w:line="240" w:lineRule="auto"/>
        <w:ind w:left="-284" w:firstLine="992.0000000000002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Филиал №4(ГП90)                         31923  человек</w:t>
      </w:r>
    </w:p>
    <w:p w:rsidR="00000000" w:rsidDel="00000000" w:rsidP="00000000" w:rsidRDefault="00000000" w:rsidRPr="00000000" w14:paraId="0000000B">
      <w:pPr>
        <w:spacing w:after="0" w:line="240" w:lineRule="auto"/>
        <w:ind w:left="-284" w:firstLine="992.0000000000002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Филиал №5 (ГП106)                      27755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человек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Поликлиника оказывает  амбулаторную первичную медико-санитарную помощь 1 и 2 уровня.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За период с 2011 по 2016 год  по программе модернизация здравоохранения в ГП № 22 и филиалы поступило 68  единиц  медицинского оборудования, такое как МРТ, КТ, рентгенологические аппараты, маммограф, стол хирургический, эндоскопическое оборудование, УЗИ сканеры, рабочее место офтальмолога и др. 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2018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году получено и введено в эксплуатацию 93 единицы медицинского оборудования (из них: 4 ЛОР-установки, 5 комплексов суточного мониторирования ЭКГ , 4 комплекса  суточного мониторирования АД, 1 комплекс суточного мониторирования ЭКГ и АД, 2 видеоцистоуретроскопа, оборудование для кабинетов ВОП, 13 электрокардиографов).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Произведен ремонт помещений в следующих учреждениях: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ГП № 22(ул. Кедрова, д. 24)-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выполнены работы по текущему ремонту санитарных комнат и кабинетов;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ГП № 22 Филиал № 1(ул. Цюрупы, дом 30/63) 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выполнены работы по текущему ремонту санитарных комнат, холла и коридора;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ГП № 22 Филиал № 4(ул. Ремизова, д 6) - выполнены работы по текущему ремонту холла (зоны комфортного пребывания пациентов);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В состав амбулаторного центра входят   следующие отделения: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Терапевтические отделения (6 отделений)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after="0" w:line="240" w:lineRule="auto"/>
        <w:ind w:left="432" w:hanging="432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Урологическое отделение (врачи ведут прием в каждом филиале)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after="0" w:line="240" w:lineRule="auto"/>
        <w:ind w:left="432" w:hanging="432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Отделение кардиологии (врачи ведут прием в каждом филиале), кабинет профилактики инфарктов и кардиоэмболических инсультов.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after="0" w:line="240" w:lineRule="auto"/>
        <w:ind w:left="432" w:hanging="432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Консультативное отделение (пульмонолог – филиал № 2 , гастроэнтеролог – филиал № 5,  кабинет эндоскопии – ГП № 22 и филиал № 3 , онколог-маммолог – ГП № 22,  нефролог- филиал № 3, колопроктолог – ГП № 22).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spacing w:after="0" w:line="240" w:lineRule="auto"/>
        <w:ind w:left="432" w:hanging="432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Оториноларингологическое отделение (врачи ведут прием в каждом филиале)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spacing w:after="0" w:line="240" w:lineRule="auto"/>
        <w:ind w:left="432" w:hanging="432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Неврологическое отделение (врачи ведут прием в каждом филиале)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after="0" w:line="240" w:lineRule="auto"/>
        <w:ind w:left="432" w:hanging="432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Офтальмологическое отделение  (врачи ведут прием в каждом филиале)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spacing w:after="0" w:line="240" w:lineRule="auto"/>
        <w:ind w:left="432" w:hanging="432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Хирургическое отделение с дневным стационаром (врачи ведут прием в каждом филиале)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after="0" w:line="240" w:lineRule="auto"/>
        <w:ind w:left="432" w:hanging="432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Круглосуточное отделение неотложной  травматологии и ортопедии (травмпункт) (филиал № 5 ), 1 врач травматолог-ортопед ведет прием в ГП №22.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pacing w:after="0" w:line="240" w:lineRule="auto"/>
        <w:ind w:left="432" w:hanging="432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Эндокринологическое отделение (кабинет диабетическая стопа ГП № 22) (врачи ведут прием в каждом филиале)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spacing w:after="0" w:line="240" w:lineRule="auto"/>
        <w:ind w:left="432" w:hanging="432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Отделение медицинской помощи взрослому населению на дому (врачи оказывающие помощь на дому)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spacing w:after="0" w:line="240" w:lineRule="auto"/>
        <w:ind w:left="432" w:hanging="432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Кабинет врача-гериатра с дневным стационаром (филиал № 2)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spacing w:after="0" w:line="240" w:lineRule="auto"/>
        <w:ind w:left="432" w:hanging="432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Кабинет паллиативной медицинской помощи 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spacing w:after="0" w:line="240" w:lineRule="auto"/>
        <w:ind w:left="432" w:hanging="432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Центр здоровья (ГП №22)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spacing w:after="0" w:line="240" w:lineRule="auto"/>
        <w:ind w:left="432" w:hanging="432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Отделение медицинской профилактики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spacing w:after="0" w:line="240" w:lineRule="auto"/>
        <w:ind w:left="432" w:hanging="432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Отделение функциональной диагностики (прием осуществляется в каждом филиале)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2"/>
        </w:numPr>
        <w:spacing w:after="0" w:line="240" w:lineRule="auto"/>
        <w:ind w:left="432" w:hanging="432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Отделение  медицинской реабилитации (прием осуществляется в каждом филиале)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2"/>
        </w:numPr>
        <w:spacing w:after="0" w:line="240" w:lineRule="auto"/>
        <w:ind w:left="432" w:hanging="432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Отделение ультразвуковой диагностики (прием осуществляется в каждом филиале)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2"/>
        </w:numPr>
        <w:spacing w:after="0" w:line="240" w:lineRule="auto"/>
        <w:ind w:left="432" w:hanging="432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Отделение лучевой диагностики (рентгенография легких, костей, ФЛГ в каждом филиале, КТ и МРТ в ГП № 22, денситометрия в филиале №2 и ГП №22)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2"/>
        </w:numPr>
        <w:spacing w:after="0" w:line="240" w:lineRule="auto"/>
        <w:ind w:left="432" w:hanging="432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Дневной стационар  (42 койки) 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2"/>
        </w:numPr>
        <w:spacing w:after="0" w:line="240" w:lineRule="auto"/>
        <w:ind w:left="432" w:hanging="432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Отделение клинической лабораторной диагностики (забор биоматериала осуществляется в каждом филиале)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2"/>
        </w:numPr>
        <w:spacing w:after="0" w:line="240" w:lineRule="auto"/>
        <w:ind w:left="432" w:hanging="432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Отдел организационно-методической и клинико-экспертной работы 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2"/>
        </w:numPr>
        <w:spacing w:after="0" w:line="240" w:lineRule="auto"/>
        <w:ind w:left="432" w:hanging="432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Справочно-информационный отдел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2"/>
        </w:numPr>
        <w:spacing w:after="0" w:line="240" w:lineRule="auto"/>
        <w:ind w:left="431" w:hanging="432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Центральное стерилизационное отделение</w:t>
      </w:r>
    </w:p>
    <w:p w:rsidR="00000000" w:rsidDel="00000000" w:rsidP="00000000" w:rsidRDefault="00000000" w:rsidRPr="00000000" w14:paraId="00000030">
      <w:pPr>
        <w:spacing w:after="0" w:line="240" w:lineRule="auto"/>
        <w:ind w:left="431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431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ГП №22 и филиалы №1 и 2 являются клиническими базами кафедры поликлинической терапии лечебного факультета РНИМУ им. Н.П.Пирогова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1.1. Штаты учреждения</w:t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75.0" w:type="pct"/>
        <w:tblLayout w:type="fixed"/>
        <w:tblLook w:val="0400"/>
      </w:tblPr>
      <w:tblGrid>
        <w:gridCol w:w="1735"/>
        <w:gridCol w:w="1523"/>
        <w:gridCol w:w="1523"/>
        <w:gridCol w:w="1523"/>
        <w:gridCol w:w="1523"/>
        <w:gridCol w:w="1443"/>
        <w:tblGridChange w:id="0">
          <w:tblGrid>
            <w:gridCol w:w="1735"/>
            <w:gridCol w:w="1523"/>
            <w:gridCol w:w="1523"/>
            <w:gridCol w:w="1523"/>
            <w:gridCol w:w="1523"/>
            <w:gridCol w:w="1443"/>
          </w:tblGrid>
        </w:tblGridChange>
      </w:tblGrid>
      <w:tr>
        <w:trPr>
          <w:trHeight w:val="6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Наименование</w:t>
              <w:br w:type="textWrapping"/>
              <w:t xml:space="preserve">должности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Данные за год ( 2017 г.),             </w:t>
              <w:br w:type="textWrapping"/>
              <w:t xml:space="preserve">предшествующий отчетному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Отчетный период </w:t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(2018 г)   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Изменение </w:t>
              <w:br w:type="textWrapping"/>
              <w:t xml:space="preserve">числа     </w:t>
              <w:br w:type="textWrapping"/>
              <w:t xml:space="preserve">занятых   </w:t>
              <w:br w:type="textWrapping"/>
              <w:t xml:space="preserve">должностей</w:t>
              <w:br w:type="textWrapping"/>
              <w:t xml:space="preserve">(%)       </w:t>
            </w:r>
          </w:p>
        </w:tc>
      </w:tr>
      <w:tr>
        <w:trPr>
          <w:trHeight w:val="10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штатных</w:t>
              <w:br w:type="textWrapping"/>
              <w:t xml:space="preserve">должностей в </w:t>
              <w:br w:type="textWrapping"/>
              <w:t xml:space="preserve">целом по     </w:t>
              <w:br w:type="textWrapping"/>
              <w:t xml:space="preserve">учреждению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       </w:t>
              <w:br w:type="textWrapping"/>
              <w:t xml:space="preserve">занятых      </w:t>
              <w:br w:type="textWrapping"/>
              <w:t xml:space="preserve">должностей   </w:t>
              <w:br w:type="textWrapping"/>
              <w:t xml:space="preserve">в целом по   </w:t>
              <w:br w:type="textWrapping"/>
              <w:t xml:space="preserve">учреждению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    </w:t>
              <w:br w:type="textWrapping"/>
              <w:t xml:space="preserve">должностей</w:t>
              <w:br w:type="textWrapping"/>
              <w:t xml:space="preserve">в целом по</w:t>
              <w:br w:type="textWrapping"/>
              <w:t xml:space="preserve">учреждению</w:t>
              <w:br w:type="textWrapping"/>
              <w:t xml:space="preserve">штатных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    </w:t>
              <w:br w:type="textWrapping"/>
              <w:t xml:space="preserve">должностей</w:t>
              <w:br w:type="textWrapping"/>
              <w:t xml:space="preserve">в целом по</w:t>
              <w:br w:type="textWrapping"/>
              <w:t xml:space="preserve">учреждению</w:t>
              <w:br w:type="textWrapping"/>
              <w:t xml:space="preserve">занятых  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Врачи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357,25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311,75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303,0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272,75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-12,5 %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Средний     </w:t>
              <w:br w:type="textWrapping"/>
              <w:t xml:space="preserve">медицинский </w:t>
              <w:br w:type="textWrapping"/>
              <w:t xml:space="preserve">персонал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359,0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332,0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323,5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288,0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-13,26 %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Прочий персонал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204,5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197,5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203,0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195,75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-1%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Всего       </w:t>
              <w:br w:type="textWrapping"/>
              <w:t xml:space="preserve">должностей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920,75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841,25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829,5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756,5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-10%</w:t>
            </w:r>
          </w:p>
        </w:tc>
      </w:tr>
    </w:tbl>
    <w:p w:rsidR="00000000" w:rsidDel="00000000" w:rsidP="00000000" w:rsidRDefault="00000000" w:rsidRPr="00000000" w14:paraId="0000005B">
      <w:pPr>
        <w:widowControl w:val="0"/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ind w:firstLine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ind w:firstLine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Специализированная стоматологическая помощь в рамках ОМС осуществляется в ЧЛГ (ул. Лестева  д.9), СП №7.  Ветеранам ВОВ при необходимости специализированная стоматологическая помощь  оказываться стационарно. </w:t>
      </w:r>
    </w:p>
    <w:tbl>
      <w:tblPr>
        <w:tblStyle w:val="Table2"/>
        <w:tblW w:w="56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72"/>
        <w:gridCol w:w="3093"/>
        <w:tblGridChange w:id="0">
          <w:tblGrid>
            <w:gridCol w:w="2572"/>
            <w:gridCol w:w="3093"/>
          </w:tblGrid>
        </w:tblGridChange>
      </w:tblGrid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Наименование категории персонала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Средняя заработная плата за 2018 год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Основной персонал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Всего по ЛПУ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86 461,80</w:t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том числе, по категориям персонала: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-врачебный персонал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132 065,00</w:t>
            </w:r>
          </w:p>
          <w:p w:rsidR="00000000" w:rsidDel="00000000" w:rsidP="00000000" w:rsidRDefault="00000000" w:rsidRPr="00000000" w14:paraId="0000006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 них, врачи-терапевты-участковые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121 160,40</w:t>
            </w:r>
          </w:p>
          <w:p w:rsidR="00000000" w:rsidDel="00000000" w:rsidP="00000000" w:rsidRDefault="00000000" w:rsidRPr="00000000" w14:paraId="0000007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врачи-специалисты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120 304,70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-средний медперсонал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64 007,20</w:t>
            </w:r>
          </w:p>
          <w:p w:rsidR="00000000" w:rsidDel="00000000" w:rsidP="00000000" w:rsidRDefault="00000000" w:rsidRPr="00000000" w14:paraId="0000007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-младший медперсонал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78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-прочий персонал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45 865,20</w:t>
            </w:r>
          </w:p>
          <w:p w:rsidR="00000000" w:rsidDel="00000000" w:rsidP="00000000" w:rsidRDefault="00000000" w:rsidRPr="00000000" w14:paraId="0000007B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widowControl w:val="0"/>
        <w:spacing w:after="0" w:line="240" w:lineRule="auto"/>
        <w:ind w:firstLine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after="0" w:line="240" w:lineRule="auto"/>
        <w:ind w:firstLine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after="0" w:line="240" w:lineRule="auto"/>
        <w:ind w:firstLine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after="0" w:line="240" w:lineRule="auto"/>
        <w:ind w:firstLine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Данные по квалификационным категориям медицинских сотрудников</w:t>
      </w:r>
    </w:p>
    <w:p w:rsidR="00000000" w:rsidDel="00000000" w:rsidP="00000000" w:rsidRDefault="00000000" w:rsidRPr="00000000" w14:paraId="00000080">
      <w:pPr>
        <w:widowControl w:val="0"/>
        <w:spacing w:after="0" w:line="240" w:lineRule="auto"/>
        <w:ind w:firstLine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2330"/>
        <w:gridCol w:w="2330"/>
        <w:gridCol w:w="2330"/>
        <w:tblGridChange w:id="0">
          <w:tblGrid>
            <w:gridCol w:w="2355"/>
            <w:gridCol w:w="2330"/>
            <w:gridCol w:w="2330"/>
            <w:gridCol w:w="233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наименование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Общее количество в 2017 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Общее количество в 2018 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Общее количество в 2019 г.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Врачи с ученой степенью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Врачи высшей категории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Врачи 1 категории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Врачи 2 категории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Средний медицинский персонал высшей категории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Средний медицинский персонал 1 категории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Средний медицинский персонал 2 категории</w:t>
            </w:r>
          </w:p>
          <w:p w:rsidR="00000000" w:rsidDel="00000000" w:rsidP="00000000" w:rsidRDefault="00000000" w:rsidRPr="00000000" w14:paraId="000000A0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widowControl w:val="0"/>
        <w:spacing w:after="0" w:line="240" w:lineRule="auto"/>
        <w:ind w:firstLine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after="0" w:line="240" w:lineRule="auto"/>
        <w:ind w:firstLine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Комментарии:  снижение доли врачей с высшей категорией связано, с тем, что врачи-терапевты переведены на должности врачей общей практики. </w:t>
      </w:r>
    </w:p>
    <w:p w:rsidR="00000000" w:rsidDel="00000000" w:rsidP="00000000" w:rsidRDefault="00000000" w:rsidRPr="00000000" w14:paraId="000000A6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1.2. Работа врачей поликлиники </w:t>
      </w:r>
    </w:p>
    <w:tbl>
      <w:tblPr>
        <w:tblStyle w:val="Table4"/>
        <w:tblW w:w="9270.0" w:type="dxa"/>
        <w:jc w:val="left"/>
        <w:tblInd w:w="75.0" w:type="pct"/>
        <w:tblLayout w:type="fixed"/>
        <w:tblLook w:val="0400"/>
      </w:tblPr>
      <w:tblGrid>
        <w:gridCol w:w="3409"/>
        <w:gridCol w:w="2516"/>
        <w:gridCol w:w="1790"/>
        <w:gridCol w:w="1555"/>
        <w:tblGridChange w:id="0">
          <w:tblGrid>
            <w:gridCol w:w="3409"/>
            <w:gridCol w:w="2516"/>
            <w:gridCol w:w="1790"/>
            <w:gridCol w:w="1555"/>
          </w:tblGrid>
        </w:tblGridChange>
      </w:tblGrid>
      <w:tr>
        <w:trPr>
          <w:trHeight w:val="10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Отчетный период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посещений    </w:t>
              <w:br w:type="textWrapping"/>
              <w:t xml:space="preserve">врачей, включая    </w:t>
              <w:br w:type="textWrapping"/>
              <w:t xml:space="preserve">профилактические,  </w:t>
              <w:br w:type="textWrapping"/>
              <w:t xml:space="preserve">всего  поликлинике</w:t>
            </w:r>
          </w:p>
          <w:p w:rsidR="00000000" w:rsidDel="00000000" w:rsidP="00000000" w:rsidRDefault="00000000" w:rsidRPr="00000000" w14:paraId="000000A9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       </w:t>
              <w:br w:type="textWrapping"/>
              <w:t xml:space="preserve">посещений    </w:t>
              <w:br w:type="textWrapping"/>
              <w:t xml:space="preserve">врачей по    </w:t>
              <w:br w:type="textWrapping"/>
              <w:t xml:space="preserve">поводу       </w:t>
              <w:br w:type="textWrapping"/>
              <w:t xml:space="preserve">заболеваний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     </w:t>
              <w:br w:type="textWrapping"/>
              <w:t xml:space="preserve">посещений  </w:t>
              <w:br w:type="textWrapping"/>
              <w:t xml:space="preserve">врачами на  </w:t>
              <w:br w:type="textWrapping"/>
              <w:t xml:space="preserve">дому       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год, предшествующий     </w:t>
              <w:br w:type="textWrapping"/>
              <w:t xml:space="preserve">отчетному (2016 год)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1 584 107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1 234 318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68087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отчетный </w:t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период (2017 год)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1522054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1295574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320.0" w:type="dxa"/>
              <w:jc w:val="left"/>
              <w:tblInd w:w="75.0" w:type="dxa"/>
              <w:tblLayout w:type="fixed"/>
              <w:tblLook w:val="0400"/>
            </w:tblPr>
            <w:tblGrid>
              <w:gridCol w:w="1320"/>
              <w:tblGridChange w:id="0">
                <w:tblGrid>
                  <w:gridCol w:w="1320"/>
                </w:tblGrid>
              </w:tblGridChange>
            </w:tblGrid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5">
                  <w:pPr>
                    <w:widowControl w:val="0"/>
                    <w:spacing w:after="0" w:lineRule="auto"/>
                    <w:contextualSpacing w:val="0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6">
                  <w:pPr>
                    <w:widowControl w:val="0"/>
                    <w:spacing w:after="0" w:lineRule="auto"/>
                    <w:contextualSpacing w:val="0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57858</w:t>
                  </w:r>
                </w:p>
              </w:tc>
            </w:tr>
          </w:tbl>
          <w:p w:rsidR="00000000" w:rsidDel="00000000" w:rsidP="00000000" w:rsidRDefault="00000000" w:rsidRPr="00000000" w14:paraId="000000B7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отчетный </w:t>
            </w:r>
          </w:p>
          <w:p w:rsidR="00000000" w:rsidDel="00000000" w:rsidP="00000000" w:rsidRDefault="00000000" w:rsidRPr="00000000" w14:paraId="000000B9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период (2018 год)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1198222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1027041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47196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Динамика показателя (%)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-21%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-21%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-18</w:t>
            </w:r>
          </w:p>
        </w:tc>
      </w:tr>
    </w:tbl>
    <w:p w:rsidR="00000000" w:rsidDel="00000000" w:rsidP="00000000" w:rsidRDefault="00000000" w:rsidRPr="00000000" w14:paraId="000000C1">
      <w:pPr>
        <w:widowControl w:val="0"/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C2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Комментарий: По сравнению с 2017 годом наблюдается снижение числа посещений, в том числе по заболеванию и на дому, что связано с тем, что в 2018г. приступили к работе ВОПы вместо участковых терапевтов, которые оказывают больший объем медицинской помощи на одном приеме, а количество приемов в час у них меньше по сравнению с участковыми терапевтами. Кроме того в 2018г не проводят посещения гинекологи ЖК  (она переведена в ГКБ№1) и отделение помощи на дому(переведено в ССиНМП им. Пучкова).</w:t>
      </w:r>
    </w:p>
    <w:p w:rsidR="00000000" w:rsidDel="00000000" w:rsidP="00000000" w:rsidRDefault="00000000" w:rsidRPr="00000000" w14:paraId="000000C3">
      <w:pPr>
        <w:spacing w:after="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Число патронажных посещений активных посещений к хроническим больным на дому в 2018  году составило 8155  (2017 год  6176 посещений) на +32% в связи с открытием кабинета патронажа в отделении Помощи на дому в 2018г.</w:t>
      </w:r>
    </w:p>
    <w:p w:rsidR="00000000" w:rsidDel="00000000" w:rsidP="00000000" w:rsidRDefault="00000000" w:rsidRPr="00000000" w14:paraId="000000C4">
      <w:pPr>
        <w:widowControl w:val="0"/>
        <w:spacing w:after="0" w:line="240" w:lineRule="auto"/>
        <w:ind w:left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C5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1.3. Хирургическая работа поликлиники</w:t>
      </w:r>
    </w:p>
    <w:p w:rsidR="00000000" w:rsidDel="00000000" w:rsidP="00000000" w:rsidRDefault="00000000" w:rsidRPr="00000000" w14:paraId="000000C6">
      <w:pPr>
        <w:widowControl w:val="0"/>
        <w:spacing w:after="0" w:line="240" w:lineRule="auto"/>
        <w:ind w:left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tbl>
      <w:tblPr>
        <w:tblStyle w:val="Table6"/>
        <w:tblW w:w="9240.0" w:type="dxa"/>
        <w:jc w:val="left"/>
        <w:tblInd w:w="75.0" w:type="pct"/>
        <w:tblLayout w:type="fixed"/>
        <w:tblLook w:val="0400"/>
      </w:tblPr>
      <w:tblGrid>
        <w:gridCol w:w="4080"/>
        <w:gridCol w:w="2520"/>
        <w:gridCol w:w="2640"/>
        <w:tblGridChange w:id="0">
          <w:tblGrid>
            <w:gridCol w:w="4080"/>
            <w:gridCol w:w="2520"/>
            <w:gridCol w:w="2640"/>
          </w:tblGrid>
        </w:tblGridChange>
      </w:tblGrid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операций            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проведенных операций в            </w:t>
              <w:br w:type="textWrapping"/>
              <w:t xml:space="preserve">амбулаторно-поликлиническом учреждении, </w:t>
              <w:br w:type="textWrapping"/>
              <w:t xml:space="preserve">всего                                   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Операции на полости рта и челюстно-лицевой области, на женских половых органах, грыжесечение, на коже и подкожной клетчатке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год, предшествующий     </w:t>
            </w:r>
          </w:p>
          <w:p w:rsidR="00000000" w:rsidDel="00000000" w:rsidP="00000000" w:rsidRDefault="00000000" w:rsidRPr="00000000" w14:paraId="000000CC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отчетному (2017 год)     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отчетный период (2018 год) 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Всего операций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1976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1473</w:t>
            </w:r>
          </w:p>
        </w:tc>
      </w:tr>
    </w:tbl>
    <w:p w:rsidR="00000000" w:rsidDel="00000000" w:rsidP="00000000" w:rsidRDefault="00000000" w:rsidRPr="00000000" w14:paraId="000000D1">
      <w:pPr>
        <w:widowControl w:val="0"/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D2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В ГБУЗ «ГП № 22 ДЗМ» проводятся еженедельно плановые малые хирургические оперативные вмешательства, по показаниям. Проведены операции на коже, подкожно жировой клетчатке, оперативные вмешательства по поводу фимоза и варикоцеле. Количество пролеченных больных составило в 2017 году –1959 , в 2018 году - 1458, из них оперировано в дневном стационаре в 2017г. - 220 человек, в 2018 году- 85.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Профилактическая работа. Диспансерное наблюдение</w:t>
      </w:r>
    </w:p>
    <w:p w:rsidR="00000000" w:rsidDel="00000000" w:rsidP="00000000" w:rsidRDefault="00000000" w:rsidRPr="00000000" w14:paraId="000000D4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D5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2.1. Профилактические осмотры, проведенные</w:t>
      </w:r>
    </w:p>
    <w:p w:rsidR="00000000" w:rsidDel="00000000" w:rsidP="00000000" w:rsidRDefault="00000000" w:rsidRPr="00000000" w14:paraId="000000D6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данным учреждением</w:t>
      </w:r>
    </w:p>
    <w:p w:rsidR="00000000" w:rsidDel="00000000" w:rsidP="00000000" w:rsidRDefault="00000000" w:rsidRPr="00000000" w14:paraId="000000D7">
      <w:pPr>
        <w:widowControl w:val="0"/>
        <w:spacing w:after="0" w:line="240" w:lineRule="auto"/>
        <w:ind w:left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tbl>
      <w:tblPr>
        <w:tblStyle w:val="Table7"/>
        <w:tblW w:w="9430.0" w:type="dxa"/>
        <w:jc w:val="left"/>
        <w:tblInd w:w="75.0" w:type="pct"/>
        <w:tblLayout w:type="fixed"/>
        <w:tblLook w:val="0400"/>
      </w:tblPr>
      <w:tblGrid>
        <w:gridCol w:w="2272"/>
        <w:gridCol w:w="2264"/>
        <w:gridCol w:w="2076"/>
        <w:gridCol w:w="1421"/>
        <w:gridCol w:w="1397"/>
        <w:tblGridChange w:id="0">
          <w:tblGrid>
            <w:gridCol w:w="2272"/>
            <w:gridCol w:w="2264"/>
            <w:gridCol w:w="2076"/>
            <w:gridCol w:w="1421"/>
            <w:gridCol w:w="1397"/>
          </w:tblGrid>
        </w:tblGridChange>
      </w:tblGrid>
      <w:tr>
        <w:trPr>
          <w:trHeight w:val="6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Контингенты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Подлежало     </w:t>
              <w:br w:type="textWrapping"/>
              <w:t xml:space="preserve">осмотрам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Осмотрено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Подлежало     </w:t>
              <w:br w:type="textWrapping"/>
              <w:t xml:space="preserve">осмотрам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Осмотрено  </w:t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год, предшествующий     </w:t>
            </w:r>
          </w:p>
          <w:p w:rsidR="00000000" w:rsidDel="00000000" w:rsidP="00000000" w:rsidRDefault="00000000" w:rsidRPr="00000000" w14:paraId="000000DF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отчетному (2017 год)     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год, предшествующий     </w:t>
            </w:r>
          </w:p>
          <w:p w:rsidR="00000000" w:rsidDel="00000000" w:rsidP="00000000" w:rsidRDefault="00000000" w:rsidRPr="00000000" w14:paraId="000000E1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отчетному (2017 год)     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отчетный период (2018 год)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отчетный период (2018 год)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Всего детей в      </w:t>
              <w:br w:type="textWrapping"/>
              <w:t xml:space="preserve">возрасте 15-17 лет </w:t>
              <w:br w:type="textWrapping"/>
              <w:t xml:space="preserve">включительно (кроме</w:t>
              <w:br w:type="textWrapping"/>
              <w:t xml:space="preserve">обучающихся в      </w:t>
              <w:br w:type="textWrapping"/>
              <w:t xml:space="preserve">школах)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Контингенты        </w:t>
              <w:br w:type="textWrapping"/>
              <w:t xml:space="preserve">населения,         </w:t>
              <w:br w:type="textWrapping"/>
              <w:t xml:space="preserve">осмотренные в      </w:t>
              <w:br w:type="textWrapping"/>
              <w:t xml:space="preserve">порядке            </w:t>
              <w:br w:type="textWrapping"/>
              <w:t xml:space="preserve">периодических      </w:t>
              <w:br w:type="textWrapping"/>
              <w:t xml:space="preserve">осмотров, - всего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1491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1491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1445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1445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Население,         </w:t>
              <w:br w:type="textWrapping"/>
              <w:t xml:space="preserve">осмотренное в      </w:t>
              <w:br w:type="textWrapping"/>
              <w:t xml:space="preserve">порядке проведения </w:t>
              <w:br w:type="textWrapping"/>
              <w:t xml:space="preserve"> Всеобщей диспансеризации    </w:t>
              <w:br w:type="textWrapping"/>
              <w:t xml:space="preserve">граждан  и профилактических осмотров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60880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60880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57826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57826</w:t>
            </w:r>
          </w:p>
        </w:tc>
      </w:tr>
    </w:tbl>
    <w:p w:rsidR="00000000" w:rsidDel="00000000" w:rsidP="00000000" w:rsidRDefault="00000000" w:rsidRPr="00000000" w14:paraId="000000F3">
      <w:pPr>
        <w:widowControl w:val="0"/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F4">
      <w:pPr>
        <w:widowControl w:val="0"/>
        <w:spacing w:after="0" w:line="240" w:lineRule="auto"/>
        <w:ind w:firstLine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Комментарий: За отчетный период подростки в поликлинике не наблюдались.</w:t>
      </w:r>
    </w:p>
    <w:p w:rsidR="00000000" w:rsidDel="00000000" w:rsidP="00000000" w:rsidRDefault="00000000" w:rsidRPr="00000000" w14:paraId="000000F5">
      <w:pPr>
        <w:widowControl w:val="0"/>
        <w:spacing w:after="0" w:line="240" w:lineRule="auto"/>
        <w:ind w:firstLine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2.2. Диспансерное наблюдение за инвалидами и участниками</w:t>
      </w:r>
    </w:p>
    <w:p w:rsidR="00000000" w:rsidDel="00000000" w:rsidP="00000000" w:rsidRDefault="00000000" w:rsidRPr="00000000" w14:paraId="000000F9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Великой Отечественной войны и воинами-интернационалистами</w:t>
      </w:r>
    </w:p>
    <w:p w:rsidR="00000000" w:rsidDel="00000000" w:rsidP="00000000" w:rsidRDefault="00000000" w:rsidRPr="00000000" w14:paraId="000000FA">
      <w:pPr>
        <w:widowControl w:val="0"/>
        <w:spacing w:after="0" w:line="240" w:lineRule="auto"/>
        <w:ind w:left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tbl>
      <w:tblPr>
        <w:tblStyle w:val="Table8"/>
        <w:tblW w:w="9270.0" w:type="dxa"/>
        <w:jc w:val="left"/>
        <w:tblInd w:w="75.0" w:type="pct"/>
        <w:tblLayout w:type="fixed"/>
        <w:tblLook w:val="0400"/>
      </w:tblPr>
      <w:tblGrid>
        <w:gridCol w:w="2023"/>
        <w:gridCol w:w="2290"/>
        <w:gridCol w:w="1314"/>
        <w:gridCol w:w="2290"/>
        <w:gridCol w:w="1353"/>
        <w:tblGridChange w:id="0">
          <w:tblGrid>
            <w:gridCol w:w="2023"/>
            <w:gridCol w:w="2290"/>
            <w:gridCol w:w="1314"/>
            <w:gridCol w:w="2290"/>
            <w:gridCol w:w="1353"/>
          </w:tblGrid>
        </w:tblGridChange>
      </w:tblGrid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Участники ВОВ, в том     </w:t>
              <w:br w:type="textWrapping"/>
              <w:t xml:space="preserve">числе инвалиды ВОВ    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Воины-интернационалисты    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Наименование       </w:t>
              <w:br w:type="textWrapping"/>
              <w:t xml:space="preserve">показателей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год, предшествующий     </w:t>
            </w:r>
          </w:p>
          <w:p w:rsidR="00000000" w:rsidDel="00000000" w:rsidP="00000000" w:rsidRDefault="00000000" w:rsidRPr="00000000" w14:paraId="00000102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отчетному (2017 год)     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отчетный период (2018 год)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год, предшествующий     </w:t>
            </w:r>
          </w:p>
          <w:p w:rsidR="00000000" w:rsidDel="00000000" w:rsidP="00000000" w:rsidRDefault="00000000" w:rsidRPr="00000000" w14:paraId="00000105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отчетному (2017 год)     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отчетный период (2018 год)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Состоит под        </w:t>
              <w:br w:type="textWrapping"/>
              <w:t xml:space="preserve">диспансерным       </w:t>
              <w:br w:type="textWrapping"/>
              <w:t xml:space="preserve">наблюдением на     </w:t>
              <w:br w:type="textWrapping"/>
              <w:t xml:space="preserve">конец отчетного    </w:t>
              <w:br w:type="textWrapping"/>
              <w:t xml:space="preserve">года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Взято на диспансерный учет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Снято с            </w:t>
              <w:br w:type="textWrapping"/>
              <w:t xml:space="preserve">диспансерного      </w:t>
              <w:br w:type="textWrapping"/>
              <w:t xml:space="preserve">наблюдения в       </w:t>
              <w:br w:type="textWrapping"/>
              <w:t xml:space="preserve">течение отчетного  </w:t>
              <w:br w:type="textWrapping"/>
              <w:t xml:space="preserve">года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том числе:       </w:t>
              <w:br w:type="textWrapping"/>
              <w:t xml:space="preserve">выехало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умерло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Состоит по         </w:t>
              <w:br w:type="textWrapping"/>
              <w:t xml:space="preserve">группам            </w:t>
              <w:br w:type="textWrapping"/>
              <w:t xml:space="preserve">инвалидности:       </w:t>
            </w:r>
          </w:p>
          <w:p w:rsidR="00000000" w:rsidDel="00000000" w:rsidP="00000000" w:rsidRDefault="00000000" w:rsidRPr="00000000" w14:paraId="00000122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                      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II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III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Получили           </w:t>
              <w:br w:type="textWrapping"/>
              <w:t xml:space="preserve">стационарное       </w:t>
              <w:br w:type="textWrapping"/>
              <w:t xml:space="preserve">лечение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Получили           </w:t>
              <w:br w:type="textWrapping"/>
              <w:t xml:space="preserve">санаторно-курортное</w:t>
              <w:br w:type="textWrapping"/>
              <w:t xml:space="preserve">лечение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40">
      <w:pPr>
        <w:widowControl w:val="0"/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141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2.3. Численность инвалидов, состоящих на учете</w:t>
      </w:r>
    </w:p>
    <w:p w:rsidR="00000000" w:rsidDel="00000000" w:rsidP="00000000" w:rsidRDefault="00000000" w:rsidRPr="00000000" w14:paraId="00000142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лечебно-профилактического учреждения</w:t>
      </w:r>
    </w:p>
    <w:p w:rsidR="00000000" w:rsidDel="00000000" w:rsidP="00000000" w:rsidRDefault="00000000" w:rsidRPr="00000000" w14:paraId="00000143">
      <w:pPr>
        <w:widowControl w:val="0"/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tbl>
      <w:tblPr>
        <w:tblStyle w:val="Table9"/>
        <w:tblW w:w="9269.999999999998" w:type="dxa"/>
        <w:jc w:val="left"/>
        <w:tblInd w:w="75.0" w:type="pct"/>
        <w:tblLayout w:type="fixed"/>
        <w:tblLook w:val="0400"/>
      </w:tblPr>
      <w:tblGrid>
        <w:gridCol w:w="1825"/>
        <w:gridCol w:w="2290"/>
        <w:gridCol w:w="1298"/>
        <w:gridCol w:w="2368"/>
        <w:gridCol w:w="1489"/>
        <w:tblGridChange w:id="0">
          <w:tblGrid>
            <w:gridCol w:w="1825"/>
            <w:gridCol w:w="2290"/>
            <w:gridCol w:w="1298"/>
            <w:gridCol w:w="2368"/>
            <w:gridCol w:w="1489"/>
          </w:tblGrid>
        </w:tblGridChange>
      </w:tblGrid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Группа        </w:t>
              <w:br w:type="textWrapping"/>
              <w:t xml:space="preserve">инвалидности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Взрослые 18 лет и </w:t>
              <w:br w:type="textWrapping"/>
              <w:t xml:space="preserve">старше         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Инвалиды          </w:t>
              <w:br w:type="textWrapping"/>
              <w:t xml:space="preserve">вследствие аварии </w:t>
              <w:br w:type="textWrapping"/>
              <w:t xml:space="preserve">на Чернобыльской  </w:t>
              <w:br w:type="textWrapping"/>
              <w:t xml:space="preserve">АЭС              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год, предшествующий     </w:t>
            </w:r>
          </w:p>
          <w:p w:rsidR="00000000" w:rsidDel="00000000" w:rsidP="00000000" w:rsidRDefault="00000000" w:rsidRPr="00000000" w14:paraId="0000014B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отчетному (2017 год)     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За отчетный период (2018 год)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год,  </w:t>
              <w:br w:type="textWrapping"/>
              <w:t xml:space="preserve">предшествующий   </w:t>
              <w:br w:type="textWrapping"/>
              <w:t xml:space="preserve">отчетному (2017г.)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     </w:t>
              <w:br w:type="textWrapping"/>
              <w:t xml:space="preserve">отчетный</w:t>
              <w:br w:type="textWrapping"/>
              <w:t xml:space="preserve">период  (2018 г.)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 группа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1137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1116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II группа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15024</w:t>
            </w:r>
          </w:p>
          <w:p w:rsidR="00000000" w:rsidDel="00000000" w:rsidP="00000000" w:rsidRDefault="00000000" w:rsidRPr="00000000" w14:paraId="00000156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12863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III группа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5193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5548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Всего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21354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19527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64">
      <w:pPr>
        <w:widowControl w:val="0"/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165">
      <w:pPr>
        <w:widowControl w:val="0"/>
        <w:spacing w:after="0" w:line="240" w:lineRule="auto"/>
        <w:ind w:firstLine="54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Комментарий: общее количество инвалидов уменьшилось, в том числе инвалидов 2 группы. Количество инвалидов 3 группы увеличилось в результате проведения реабилитационных мероприятий.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widowControl w:val="0"/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167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2.4. Деятельность отделения (кабинета)</w:t>
      </w:r>
    </w:p>
    <w:p w:rsidR="00000000" w:rsidDel="00000000" w:rsidP="00000000" w:rsidRDefault="00000000" w:rsidRPr="00000000" w14:paraId="0000016A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медицинской профилактики</w:t>
      </w:r>
    </w:p>
    <w:p w:rsidR="00000000" w:rsidDel="00000000" w:rsidP="00000000" w:rsidRDefault="00000000" w:rsidRPr="00000000" w14:paraId="0000016B">
      <w:pPr>
        <w:widowControl w:val="0"/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tbl>
      <w:tblPr>
        <w:tblStyle w:val="Table10"/>
        <w:tblW w:w="9781.0" w:type="dxa"/>
        <w:jc w:val="left"/>
        <w:tblInd w:w="75.0" w:type="pct"/>
        <w:tblLayout w:type="fixed"/>
        <w:tblLook w:val="0400"/>
      </w:tblPr>
      <w:tblGrid>
        <w:gridCol w:w="3544"/>
        <w:gridCol w:w="2290"/>
        <w:gridCol w:w="1294"/>
        <w:gridCol w:w="2653"/>
        <w:tblGridChange w:id="0">
          <w:tblGrid>
            <w:gridCol w:w="3544"/>
            <w:gridCol w:w="2290"/>
            <w:gridCol w:w="1294"/>
            <w:gridCol w:w="2653"/>
          </w:tblGrid>
        </w:tblGridChange>
      </w:tblGrid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Показатель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год, предшествующий     </w:t>
            </w:r>
          </w:p>
          <w:p w:rsidR="00000000" w:rsidDel="00000000" w:rsidP="00000000" w:rsidRDefault="00000000" w:rsidRPr="00000000" w14:paraId="0000016E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отчетному (2017 год)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отчетный период (2018год)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Динамика  </w:t>
              <w:br w:type="textWrapping"/>
              <w:t xml:space="preserve">показателя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лиц, обученных основам здорового</w:t>
              <w:br w:type="textWrapping"/>
              <w:t xml:space="preserve">образа жизни, - всего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6001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6001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медицинских работников,         </w:t>
              <w:br w:type="textWrapping"/>
              <w:t xml:space="preserve">обученных методике профилактики       </w:t>
              <w:br w:type="textWrapping"/>
              <w:t xml:space="preserve">заболеваний и укрепления здоровья, -  </w:t>
              <w:br w:type="textWrapping"/>
              <w:t xml:space="preserve">всего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+45,5 %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пациентов, обученных в "школах",</w:t>
              <w:br w:type="textWrapping"/>
              <w:t xml:space="preserve">- всего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6577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9151</w:t>
            </w:r>
          </w:p>
          <w:p w:rsidR="00000000" w:rsidDel="00000000" w:rsidP="00000000" w:rsidRDefault="00000000" w:rsidRPr="00000000" w14:paraId="0000017C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+39%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школе для больных на хроническом      </w:t>
              <w:br w:type="textWrapping"/>
              <w:t xml:space="preserve">диализе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школе для больных артериальной        </w:t>
              <w:br w:type="textWrapping"/>
              <w:t xml:space="preserve">гипертензией        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1619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1617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-0,1%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школе для больных бронхиальной астмой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+1,9 %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школе для больных сахарным диабетом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499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985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+97%</w:t>
            </w:r>
          </w:p>
          <w:p w:rsidR="00000000" w:rsidDel="00000000" w:rsidP="00000000" w:rsidRDefault="00000000" w:rsidRPr="00000000" w14:paraId="0000018E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прочих школах &lt;*&gt;   правильного питания, психологической разгрузки, отказа от курения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877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2421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+176%</w:t>
            </w:r>
          </w:p>
          <w:p w:rsidR="00000000" w:rsidDel="00000000" w:rsidP="00000000" w:rsidRDefault="00000000" w:rsidRPr="00000000" w14:paraId="00000193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проведенных массовых мероприятий</w:t>
              <w:br w:type="textWrapping"/>
              <w:t xml:space="preserve">- всего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after="0" w:lineRule="auto"/>
              <w:contextualSpacing w:val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+16%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лиц, участвующих в мероприятиях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    5237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6087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+14 %</w:t>
            </w:r>
          </w:p>
        </w:tc>
      </w:tr>
    </w:tbl>
    <w:p w:rsidR="00000000" w:rsidDel="00000000" w:rsidP="00000000" w:rsidRDefault="00000000" w:rsidRPr="00000000" w14:paraId="0000019C">
      <w:pPr>
        <w:widowControl w:val="0"/>
        <w:spacing w:after="0" w:line="240" w:lineRule="auto"/>
        <w:ind w:firstLine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widowControl w:val="0"/>
        <w:spacing w:after="0" w:line="240" w:lineRule="auto"/>
        <w:ind w:firstLine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Комментарий: Число обученных основам здорового образа жизни уменьшилось в соответствии с уменьшением плана ЦЗ на 2018г., уменьшилось число обученных в школах для пациентов с заболеваниями суставов и бронхиальной астмы, так как в предыдущие годы все пациенты с этими заболеваниями прошли обучение в соответствующей школе профилактики, а количество впервые выявленных заболеваний этой направленности значительно уменьшилось в 2018г. по сравнению с 2017г. Прекратилось обучение в школе беременных в рамках ОМС в связи с переводом женской консультации в ГКБ№1. Однако увеличилось число пациентов, обученных в  школах всего, в том числе в школах для пациентов с сахарным диабетом, отказа от курения, диабетической стопы, ишемической болезни, а также  значительно увеличилось число обученных в кабинете повторной профилактики острых инфарктов и инсультов.</w:t>
      </w:r>
    </w:p>
    <w:p w:rsidR="00000000" w:rsidDel="00000000" w:rsidP="00000000" w:rsidRDefault="00000000" w:rsidRPr="00000000" w14:paraId="0000019E">
      <w:pPr>
        <w:widowControl w:val="0"/>
        <w:spacing w:after="0" w:line="240" w:lineRule="auto"/>
        <w:ind w:firstLine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widowControl w:val="0"/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1A0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2.5. Деятельность Центров здоровья</w:t>
      </w:r>
    </w:p>
    <w:p w:rsidR="00000000" w:rsidDel="00000000" w:rsidP="00000000" w:rsidRDefault="00000000" w:rsidRPr="00000000" w14:paraId="000001A1">
      <w:pPr>
        <w:widowControl w:val="0"/>
        <w:spacing w:after="0" w:line="240" w:lineRule="auto"/>
        <w:ind w:left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tbl>
      <w:tblPr>
        <w:tblStyle w:val="Table11"/>
        <w:tblW w:w="9781.0" w:type="dxa"/>
        <w:jc w:val="left"/>
        <w:tblInd w:w="75.0" w:type="pct"/>
        <w:tblLayout w:type="fixed"/>
        <w:tblLook w:val="0400"/>
      </w:tblPr>
      <w:tblGrid>
        <w:gridCol w:w="4339"/>
        <w:gridCol w:w="2290"/>
        <w:gridCol w:w="1350"/>
        <w:gridCol w:w="1802"/>
        <w:tblGridChange w:id="0">
          <w:tblGrid>
            <w:gridCol w:w="4339"/>
            <w:gridCol w:w="2290"/>
            <w:gridCol w:w="1350"/>
            <w:gridCol w:w="1802"/>
          </w:tblGrid>
        </w:tblGridChange>
      </w:tblGrid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Показатель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Год (2017 год),          </w:t>
              <w:br w:type="textWrapping"/>
              <w:t xml:space="preserve">предшествующий</w:t>
              <w:br w:type="textWrapping"/>
              <w:t xml:space="preserve">отчетному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Отчетный</w:t>
              <w:br w:type="textWrapping"/>
              <w:t xml:space="preserve">период</w:t>
            </w:r>
          </w:p>
          <w:p w:rsidR="00000000" w:rsidDel="00000000" w:rsidP="00000000" w:rsidRDefault="00000000" w:rsidRPr="00000000" w14:paraId="000001A5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(2018 год)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Динамика  </w:t>
              <w:br w:type="textWrapping"/>
              <w:t xml:space="preserve">показателя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лиц, обратившихся в центры      </w:t>
              <w:br w:type="textWrapping"/>
              <w:t xml:space="preserve">здоровья,                            </w:t>
              <w:br w:type="textWrapping"/>
              <w:t xml:space="preserve">взрослое население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6001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6001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 них:  здоровые: всего     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2835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2899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+2,2 %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 факторами риска: всего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3665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3102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-15,4%</w:t>
            </w:r>
          </w:p>
          <w:p w:rsidR="00000000" w:rsidDel="00000000" w:rsidP="00000000" w:rsidRDefault="00000000" w:rsidRPr="00000000" w14:paraId="000001B4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Взрослое население  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6001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6001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A">
      <w:pPr>
        <w:widowControl w:val="0"/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widowControl w:val="0"/>
        <w:spacing w:after="0" w:line="240" w:lineRule="auto"/>
        <w:ind w:firstLine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Комментарий: показатели Центра здоровья по сравнению с 2017 годом не изменились, выполнение плановых значений остается на уровне 100 %. По сравнению с 2017 годом незначительно увеличилась доля здоровых пациентов, прошедших обследование в Центре здоровья,  соответственно уменьшилось количество лиц с факторами риска развития заболеваний. </w:t>
      </w:r>
    </w:p>
    <w:p w:rsidR="00000000" w:rsidDel="00000000" w:rsidP="00000000" w:rsidRDefault="00000000" w:rsidRPr="00000000" w14:paraId="000001BC">
      <w:pPr>
        <w:widowControl w:val="0"/>
        <w:spacing w:after="0" w:line="240" w:lineRule="auto"/>
        <w:ind w:firstLine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widowControl w:val="0"/>
        <w:spacing w:after="0" w:line="240" w:lineRule="auto"/>
        <w:ind w:firstLine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3.3. Взрослые (18 лет и старше)</w:t>
      </w:r>
    </w:p>
    <w:p w:rsidR="00000000" w:rsidDel="00000000" w:rsidP="00000000" w:rsidRDefault="00000000" w:rsidRPr="00000000" w14:paraId="000001BE">
      <w:pPr>
        <w:widowControl w:val="0"/>
        <w:spacing w:after="0" w:line="240" w:lineRule="auto"/>
        <w:ind w:firstLine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Численность населения 18 лет и старше: 205366</w:t>
      </w:r>
    </w:p>
    <w:p w:rsidR="00000000" w:rsidDel="00000000" w:rsidP="00000000" w:rsidRDefault="00000000" w:rsidRPr="00000000" w14:paraId="000001BF">
      <w:pPr>
        <w:widowControl w:val="0"/>
        <w:spacing w:after="0" w:line="240" w:lineRule="auto"/>
        <w:ind w:left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tbl>
      <w:tblPr>
        <w:tblStyle w:val="Table12"/>
        <w:tblW w:w="9270.000000000002" w:type="dxa"/>
        <w:jc w:val="left"/>
        <w:tblInd w:w="75.0" w:type="pct"/>
        <w:tblLayout w:type="fixed"/>
        <w:tblLook w:val="0400"/>
      </w:tblPr>
      <w:tblGrid>
        <w:gridCol w:w="631"/>
        <w:gridCol w:w="3340"/>
        <w:gridCol w:w="2290"/>
        <w:gridCol w:w="1558"/>
        <w:gridCol w:w="1451"/>
        <w:tblGridChange w:id="0">
          <w:tblGrid>
            <w:gridCol w:w="631"/>
            <w:gridCol w:w="3340"/>
            <w:gridCol w:w="2290"/>
            <w:gridCol w:w="1558"/>
            <w:gridCol w:w="1451"/>
          </w:tblGrid>
        </w:tblGridChange>
      </w:tblGrid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   </w:t>
              <w:br w:type="textWrapping"/>
              <w:t xml:space="preserve">п/п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Наименование показателя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Данные за год,</w:t>
              <w:br w:type="textWrapping"/>
              <w:t xml:space="preserve">предшествующий</w:t>
              <w:br w:type="textWrapping"/>
              <w:t xml:space="preserve">отчетному      (2017 год)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Данные за  отчетный период (2018 год)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Динамика  </w:t>
              <w:br w:type="textWrapping"/>
              <w:t xml:space="preserve">изменений </w:t>
              <w:br w:type="textWrapping"/>
              <w:t xml:space="preserve">показателя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Зарегистрировано заболеваний -   </w:t>
              <w:br w:type="textWrapping"/>
              <w:t xml:space="preserve">всего          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251855</w:t>
            </w:r>
          </w:p>
          <w:p w:rsidR="00000000" w:rsidDel="00000000" w:rsidP="00000000" w:rsidRDefault="00000000" w:rsidRPr="00000000" w14:paraId="000001C8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256598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+2%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Инфекционные и паразитарные      </w:t>
              <w:br w:type="textWrapping"/>
              <w:t xml:space="preserve">болезни        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2283</w:t>
            </w:r>
          </w:p>
          <w:p w:rsidR="00000000" w:rsidDel="00000000" w:rsidP="00000000" w:rsidRDefault="00000000" w:rsidRPr="00000000" w14:paraId="000001CE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1938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-15%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Новообразования - всего, из них: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3348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3583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+7%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Злокачественные новообразования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Болезни эндокринной системы,     </w:t>
              <w:br w:type="textWrapping"/>
              <w:t xml:space="preserve">расстройства питания и нарушения </w:t>
              <w:br w:type="textWrapping"/>
              <w:t xml:space="preserve">обмена веществ - всего, из них: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     16125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17145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+6%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4.1.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Болезни щитовидной железы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5289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5861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+11%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4.2.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Сахарный диабет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7560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7799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+3%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Болезни нервной системы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3099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3724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+20%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Болезни системы кровообращения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79238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86330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+11%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Болезни, характеризующиеся       </w:t>
              <w:br w:type="textWrapping"/>
              <w:t xml:space="preserve">повышенным кровяным давлением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20741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19908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-4%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Ишемическая болезнь сердца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31911</w:t>
            </w:r>
          </w:p>
          <w:p w:rsidR="00000000" w:rsidDel="00000000" w:rsidP="00000000" w:rsidRDefault="00000000" w:rsidRPr="00000000" w14:paraId="000001FC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35205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+10%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Острый инфаркт миокарда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+11%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Цереброваскулярные болезни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19005</w:t>
            </w:r>
          </w:p>
          <w:p w:rsidR="00000000" w:rsidDel="00000000" w:rsidP="00000000" w:rsidRDefault="00000000" w:rsidRPr="00000000" w14:paraId="00000208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23412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+23%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Острые респираторные инфекции    </w:t>
              <w:br w:type="textWrapping"/>
              <w:t xml:space="preserve">нижних дыхательных путей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175</w:t>
            </w:r>
          </w:p>
          <w:p w:rsidR="00000000" w:rsidDel="00000000" w:rsidP="00000000" w:rsidRDefault="00000000" w:rsidRPr="00000000" w14:paraId="0000020E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+17%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Болезни органов пищеварения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18395</w:t>
            </w:r>
          </w:p>
          <w:p w:rsidR="00000000" w:rsidDel="00000000" w:rsidP="00000000" w:rsidRDefault="00000000" w:rsidRPr="00000000" w14:paraId="00000214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18897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+3%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Болезни костно-мышечной системы и</w:t>
              <w:br w:type="textWrapping"/>
              <w:t xml:space="preserve">соединительной ткани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26247</w:t>
            </w:r>
          </w:p>
          <w:p w:rsidR="00000000" w:rsidDel="00000000" w:rsidP="00000000" w:rsidRDefault="00000000" w:rsidRPr="00000000" w14:paraId="0000021B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26815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+2%</w:t>
            </w:r>
          </w:p>
          <w:p w:rsidR="00000000" w:rsidDel="00000000" w:rsidP="00000000" w:rsidRDefault="00000000" w:rsidRPr="00000000" w14:paraId="0000021E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Болезни мочеполовой системы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14965</w:t>
            </w:r>
          </w:p>
          <w:p w:rsidR="00000000" w:rsidDel="00000000" w:rsidP="00000000" w:rsidRDefault="00000000" w:rsidRPr="00000000" w14:paraId="00000222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14397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-4%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Болезни глаза и его придаточного </w:t>
              <w:br w:type="textWrapping"/>
              <w:t xml:space="preserve">аппарата       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18128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18358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+1%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16.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Травмы, отравления и некоторые   </w:t>
              <w:br w:type="textWrapping"/>
              <w:t xml:space="preserve">другие последствия воздействия   </w:t>
              <w:br w:type="textWrapping"/>
              <w:t xml:space="preserve">внешних причин 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14585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16159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+11%</w:t>
            </w:r>
          </w:p>
        </w:tc>
      </w:tr>
    </w:tbl>
    <w:p w:rsidR="00000000" w:rsidDel="00000000" w:rsidP="00000000" w:rsidRDefault="00000000" w:rsidRPr="00000000" w14:paraId="00000230">
      <w:pPr>
        <w:widowControl w:val="0"/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231">
      <w:pPr>
        <w:widowControl w:val="0"/>
        <w:spacing w:after="0" w:line="240" w:lineRule="auto"/>
        <w:ind w:firstLine="54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3.4. Взрослые старше трудоспособного возраста</w:t>
      </w:r>
    </w:p>
    <w:p w:rsidR="00000000" w:rsidDel="00000000" w:rsidP="00000000" w:rsidRDefault="00000000" w:rsidRPr="00000000" w14:paraId="00000232">
      <w:pPr>
        <w:widowControl w:val="0"/>
        <w:spacing w:after="0" w:line="240" w:lineRule="auto"/>
        <w:ind w:firstLine="54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(с 55 лет у женщин и с 60 лет у мужчин)</w:t>
      </w:r>
    </w:p>
    <w:p w:rsidR="00000000" w:rsidDel="00000000" w:rsidP="00000000" w:rsidRDefault="00000000" w:rsidRPr="00000000" w14:paraId="00000233">
      <w:pPr>
        <w:widowControl w:val="0"/>
        <w:spacing w:after="0" w:line="240" w:lineRule="auto"/>
        <w:ind w:firstLine="54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Численность населения старше трудоспособного возраста: 70632 </w:t>
      </w:r>
    </w:p>
    <w:p w:rsidR="00000000" w:rsidDel="00000000" w:rsidP="00000000" w:rsidRDefault="00000000" w:rsidRPr="00000000" w14:paraId="00000234">
      <w:pPr>
        <w:widowControl w:val="0"/>
        <w:spacing w:after="0" w:line="240" w:lineRule="auto"/>
        <w:ind w:firstLine="54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270.0" w:type="dxa"/>
        <w:jc w:val="left"/>
        <w:tblInd w:w="75.0" w:type="pct"/>
        <w:tblLayout w:type="fixed"/>
        <w:tblLook w:val="0400"/>
      </w:tblPr>
      <w:tblGrid>
        <w:gridCol w:w="630"/>
        <w:gridCol w:w="3338"/>
        <w:gridCol w:w="2290"/>
        <w:gridCol w:w="1561"/>
        <w:gridCol w:w="1451"/>
        <w:tblGridChange w:id="0">
          <w:tblGrid>
            <w:gridCol w:w="630"/>
            <w:gridCol w:w="3338"/>
            <w:gridCol w:w="2290"/>
            <w:gridCol w:w="1561"/>
            <w:gridCol w:w="1451"/>
          </w:tblGrid>
        </w:tblGridChange>
      </w:tblGrid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   </w:t>
              <w:br w:type="textWrapping"/>
              <w:t xml:space="preserve">п/п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Наименование показателя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Данные за год,</w:t>
              <w:br w:type="textWrapping"/>
              <w:t xml:space="preserve">предшествующий</w:t>
              <w:br w:type="textWrapping"/>
              <w:t xml:space="preserve">отчетному      (2017 год)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Данные за  отчетный период (2018 год)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Динамика  </w:t>
              <w:br w:type="textWrapping"/>
              <w:t xml:space="preserve">изменений </w:t>
              <w:br w:type="textWrapping"/>
              <w:t xml:space="preserve">показателя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Зарегистрировано заболеваний -   </w:t>
              <w:br w:type="textWrapping"/>
              <w:t xml:space="preserve">всего          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142692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154474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+8%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Инфекционные и паразитарные      </w:t>
              <w:br w:type="textWrapping"/>
              <w:t xml:space="preserve">болезни        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690</w:t>
            </w:r>
          </w:p>
          <w:p w:rsidR="00000000" w:rsidDel="00000000" w:rsidP="00000000" w:rsidRDefault="00000000" w:rsidRPr="00000000" w14:paraId="00000242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704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+2%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Новообразования - всего, из них: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1568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1686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+8%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Злокачественные новообразования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Болезни эндокринной системы,     </w:t>
              <w:br w:type="textWrapping"/>
              <w:t xml:space="preserve">расстройства питания и нарушения </w:t>
              <w:br w:type="textWrapping"/>
              <w:t xml:space="preserve">обмена веществ - всего, из них: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9947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10637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+7%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4.1.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Болезни щитовидной железы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2804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3170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+13%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4.2.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Сахарный диабет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4959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4984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+1%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Болезни нервной системы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1649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+8%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Болезни системы кровообращения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56734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60773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+7%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Болезни, характеризующиеся       </w:t>
              <w:br w:type="textWrapping"/>
              <w:t xml:space="preserve">повышенным кровяным давлением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18663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16770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+9%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Ишемическая болезнь сердца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20622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25067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+22%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Острый инфаркт миокарда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widowControl w:val="0"/>
              <w:spacing w:after="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+30%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Цереброваскулярные болезни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11506</w:t>
            </w:r>
          </w:p>
          <w:p w:rsidR="00000000" w:rsidDel="00000000" w:rsidP="00000000" w:rsidRDefault="00000000" w:rsidRPr="00000000" w14:paraId="0000027A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13152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+14%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Острые респираторные инфекции    </w:t>
              <w:br w:type="textWrapping"/>
              <w:t xml:space="preserve">нижних дыхательных путей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39%</w:t>
            </w:r>
          </w:p>
          <w:p w:rsidR="00000000" w:rsidDel="00000000" w:rsidP="00000000" w:rsidRDefault="00000000" w:rsidRPr="00000000" w14:paraId="00000282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Болезни органов пищеварения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10488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10314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-2%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Болезни костно-мышечной системы и</w:t>
              <w:br w:type="textWrapping"/>
              <w:t xml:space="preserve">соединительной ткани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15849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19547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+23%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Болезни мочеполовой системы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9780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9682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-1%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Болезни глаза и его придаточного </w:t>
              <w:br w:type="textWrapping"/>
              <w:t xml:space="preserve">аппарата       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12854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13399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+4%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16.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widowControl w:val="0"/>
              <w:spacing w:after="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Травмы, отравления и некоторые   </w:t>
              <w:br w:type="textWrapping"/>
              <w:t xml:space="preserve">другие последствия воздействия   </w:t>
              <w:br w:type="textWrapping"/>
              <w:t xml:space="preserve">внешних причин 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5192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6175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widowControl w:val="0"/>
              <w:spacing w:after="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+19%</w:t>
            </w:r>
          </w:p>
        </w:tc>
      </w:tr>
    </w:tbl>
    <w:p w:rsidR="00000000" w:rsidDel="00000000" w:rsidP="00000000" w:rsidRDefault="00000000" w:rsidRPr="00000000" w14:paraId="0000029C">
      <w:pPr>
        <w:widowControl w:val="0"/>
        <w:spacing w:after="0" w:line="240" w:lineRule="auto"/>
        <w:ind w:firstLine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29D">
      <w:pPr>
        <w:widowControl w:val="0"/>
        <w:spacing w:after="0" w:line="240" w:lineRule="auto"/>
        <w:ind w:left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29E">
      <w:pPr>
        <w:widowControl w:val="0"/>
        <w:spacing w:after="0" w:line="240" w:lineRule="auto"/>
        <w:ind w:left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Комментарий: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2018г. незначительно увеличилась общая заболеваемость АЦ - на 2%. Однако,  повысилось количество обращений с заболеваниями сердечно - сосудистой системы, на 11%, преимущественно с цереброваскулярными заболеваниями -на 23%, в том числе у  пациентов трудоспособного возраста. Увеличилось в 2018г. число обращений с заболеваниями нервной системы- на 20%,  преимущественно пациентов трудоспособного возраста с транзиторными атаками. Такое увеличение обращений объясняется проводимой  работой по раннему выявлению этих патологии, в том числе и при диспансеризации определенных категорий населения и при профилактических осмотрах.</w:t>
      </w:r>
    </w:p>
    <w:p w:rsidR="00000000" w:rsidDel="00000000" w:rsidP="00000000" w:rsidRDefault="00000000" w:rsidRPr="00000000" w14:paraId="0000029F">
      <w:pPr>
        <w:widowControl w:val="0"/>
        <w:spacing w:after="0" w:line="240" w:lineRule="auto"/>
        <w:ind w:left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Увеличилось также количество обращений в травмпункт АЦ на 11%, в том числе пациентов старше трудоспособного возраста на 19%.Травмпункт ведет прием всех обратившихся пациентов, в том числе пациентов других АЦ ЮЗАО. </w:t>
      </w:r>
    </w:p>
    <w:p w:rsidR="00000000" w:rsidDel="00000000" w:rsidP="00000000" w:rsidRDefault="00000000" w:rsidRPr="00000000" w14:paraId="000002A0">
      <w:pPr>
        <w:widowControl w:val="0"/>
        <w:spacing w:after="0" w:line="240" w:lineRule="auto"/>
        <w:ind w:left="54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В ГБУЗ «ГП № 22 ДЗМ» используются приоритетные эффективные стационарозамещающие технологии, к которым в соответствии с ППМ № 249 относятся «дневные стационары».</w:t>
      </w:r>
    </w:p>
    <w:p w:rsidR="00000000" w:rsidDel="00000000" w:rsidP="00000000" w:rsidRDefault="00000000" w:rsidRPr="00000000" w14:paraId="000002A2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Дневной стационар ГБУЗ «ГП № 22 ДЗМ» рассчитан на 38 коек.</w:t>
      </w:r>
    </w:p>
    <w:p w:rsidR="00000000" w:rsidDel="00000000" w:rsidP="00000000" w:rsidRDefault="00000000" w:rsidRPr="00000000" w14:paraId="000002A3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ГБУЗ «ГП № 22 ДЗМ»  дневной стационар по следующим  профилям:</w:t>
      </w:r>
    </w:p>
    <w:p w:rsidR="00000000" w:rsidDel="00000000" w:rsidP="00000000" w:rsidRDefault="00000000" w:rsidRPr="00000000" w14:paraId="000002A4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Неврологический - на 18 коек в 2 смены (в  филиале № 3 – 6 коек  и в ГП № 22 – 12 коек )</w:t>
      </w:r>
    </w:p>
    <w:p w:rsidR="00000000" w:rsidDel="00000000" w:rsidP="00000000" w:rsidRDefault="00000000" w:rsidRPr="00000000" w14:paraId="000002A5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Кардиологический -  на 6 коек в 2 смены в филиале № 3</w:t>
      </w:r>
    </w:p>
    <w:p w:rsidR="00000000" w:rsidDel="00000000" w:rsidP="00000000" w:rsidRDefault="00000000" w:rsidRPr="00000000" w14:paraId="000002A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Гериатрический -  на  5 коек в 2 смены в филиале № 2</w:t>
      </w:r>
    </w:p>
    <w:p w:rsidR="00000000" w:rsidDel="00000000" w:rsidP="00000000" w:rsidRDefault="00000000" w:rsidRPr="00000000" w14:paraId="000002A7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Хирургический - на 9 коек в 2 смены в ГП № 22 </w:t>
      </w:r>
    </w:p>
    <w:p w:rsidR="00000000" w:rsidDel="00000000" w:rsidP="00000000" w:rsidRDefault="00000000" w:rsidRPr="00000000" w14:paraId="000002A8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Согласно территориальной программе государственных гарантий сроки ожидания планового приема к врачам-специалистам составляют 7 рабочих дней. К врачам-специалистам сроки планового приема в ГП № 22 и филиалах не превышают 7 дней. Для улучшения доступности оказания первичной медико-санитарной помощи и соблюдения  сроков  ожидания планового приема, первичная и повторная запись ко всем врачам-специалистам осуществляется через   ОДР ( во все филиалы). </w:t>
      </w:r>
    </w:p>
    <w:p w:rsidR="00000000" w:rsidDel="00000000" w:rsidP="00000000" w:rsidRDefault="00000000" w:rsidRPr="00000000" w14:paraId="000002A9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Сроки ожидания на диагностические исследования: рентгенография грудной клетки, костей, ФЛГ, ЭКГ, УЗИ  органов брюшной полости, щитовидной железы, молочной железы, предстательной железы и другие диагностические исследования  – 10 дней, КТ и МРТ 20 дней, что не превышают сроки, установленные территориальной программой государственных гарантий. </w:t>
      </w:r>
    </w:p>
    <w:p w:rsidR="00000000" w:rsidDel="00000000" w:rsidP="00000000" w:rsidRDefault="00000000" w:rsidRPr="00000000" w14:paraId="000002AA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В 2016 году открыт кабинет паллиативной помощи (1 врач, 1 медицинская сестра). В регистре пациентов нуждающихся в паллиативной помощи на дому в 2017 году состояло 368 человек, в 2018 году –560   человек. Это пациенты с хронической сердечной, дыхательной, печеночной, почечной недостаточности 3-4 стадии; тяжелые последствия ОНМК; тяжелые осложнения сахарного диабета и другие хронические заболевания с прогрессирующим течением в терминальной стадии. </w:t>
      </w:r>
    </w:p>
    <w:p w:rsidR="00000000" w:rsidDel="00000000" w:rsidP="00000000" w:rsidRDefault="00000000" w:rsidRPr="00000000" w14:paraId="000002AB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С 1 декабря 2016 году открыт кабинет профилактики инфарктов  и кардиоэмболических инсультов, прием ведет заведующий кардиологическим отделением по направлению врачей кардиологов, за 2017 год взято на динамическое наблюдение с мерцательной аритмией 589 человек и 182 человека  с инфарктом миокарда,  2018 году взято на динамическое наблюдение с мерцательной аритмией  683 человека и 385человек с инфарктом миокарда. в анамнезе.</w:t>
      </w:r>
    </w:p>
    <w:p w:rsidR="00000000" w:rsidDel="00000000" w:rsidP="00000000" w:rsidRDefault="00000000" w:rsidRPr="00000000" w14:paraId="000002AC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С целью улучшения качества оказания медицинской помощи пожилым людям, страдающим множественными хроническими заболеваниями  было решено изменить механизм оказания амбулаторной помощи пожилым с множественными хроническими заболеваниями пациентам. </w:t>
      </w:r>
    </w:p>
    <w:p w:rsidR="00000000" w:rsidDel="00000000" w:rsidP="00000000" w:rsidRDefault="00000000" w:rsidRPr="00000000" w14:paraId="000002AD">
      <w:pPr>
        <w:widowControl w:val="0"/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Критериями для приглашения пациентов в программу являлись: </w:t>
      </w:r>
    </w:p>
    <w:p w:rsidR="00000000" w:rsidDel="00000000" w:rsidP="00000000" w:rsidRDefault="00000000" w:rsidRPr="00000000" w14:paraId="000002AE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Наличие 3 и более хронических заболеваний АГ, ИБС, ЦВБ, ХСН, СД 2, ХОБЛ, БА, ХБП, фибрилляция и трепетание предсердий.</w:t>
      </w:r>
    </w:p>
    <w:p w:rsidR="00000000" w:rsidDel="00000000" w:rsidP="00000000" w:rsidRDefault="00000000" w:rsidRPr="00000000" w14:paraId="000002A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Возраст пациента мужчины старше 60 лет, женщины старше 55 лет.</w:t>
      </w:r>
    </w:p>
    <w:p w:rsidR="00000000" w:rsidDel="00000000" w:rsidP="00000000" w:rsidRDefault="00000000" w:rsidRPr="00000000" w14:paraId="000002B0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Возможность пациента самостоятельно посещать поликлинику (не приглашались в проект маломобильных и паллиативных пациентов).</w:t>
      </w:r>
    </w:p>
    <w:p w:rsidR="00000000" w:rsidDel="00000000" w:rsidP="00000000" w:rsidRDefault="00000000" w:rsidRPr="00000000" w14:paraId="000002B1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Согласие пациента на выполнение условий программы для пациентов: регулярное посещение лечащего врача, ведение дневника по контролю за АД, уровнем сахара крови, выполнение рекомендаций по образу жизни (питанию, физической нагрузке, приверженности к лечению).</w:t>
      </w:r>
    </w:p>
    <w:p w:rsidR="00000000" w:rsidDel="00000000" w:rsidP="00000000" w:rsidRDefault="00000000" w:rsidRPr="00000000" w14:paraId="000002B2">
      <w:pPr>
        <w:widowControl w:val="0"/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Отбор пациентов проводился на основании анализа групп пациентов диспансерного наблюдения.</w:t>
      </w:r>
    </w:p>
    <w:p w:rsidR="00000000" w:rsidDel="00000000" w:rsidP="00000000" w:rsidRDefault="00000000" w:rsidRPr="00000000" w14:paraId="000002B3">
      <w:pPr>
        <w:widowControl w:val="0"/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Главный критерий включения пациентов в программу – наличие трех и более ХНИЗ и возможность посещать поликлинику.</w:t>
      </w:r>
    </w:p>
    <w:p w:rsidR="00000000" w:rsidDel="00000000" w:rsidP="00000000" w:rsidRDefault="00000000" w:rsidRPr="00000000" w14:paraId="000002B4">
      <w:pPr>
        <w:widowControl w:val="0"/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настоящее время организована работа 10 кабинетов и прием осуществляют 11 врачей и 11 медицинских сестер.</w:t>
      </w:r>
    </w:p>
    <w:p w:rsidR="00000000" w:rsidDel="00000000" w:rsidP="00000000" w:rsidRDefault="00000000" w:rsidRPr="00000000" w14:paraId="000002B5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ГП № 22 и филиалы работают по программе «Московский стандарт поликлиники»:</w:t>
      </w:r>
    </w:p>
    <w:p w:rsidR="00000000" w:rsidDel="00000000" w:rsidP="00000000" w:rsidRDefault="00000000" w:rsidRPr="00000000" w14:paraId="000002B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улучшен комфорт в поликлиниках (отремонтированы холлы  с зонами комфортного пребывания с мягкой мебелью, установлены кулеры с водой на каждом этаже)</w:t>
      </w:r>
    </w:p>
    <w:p w:rsidR="00000000" w:rsidDel="00000000" w:rsidP="00000000" w:rsidRDefault="00000000" w:rsidRPr="00000000" w14:paraId="000002B7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организованы медицинские  посты в часы работы поликлиник с АРМами, телефоном для связи с картохралищем, печатями для рецептов, термометром (для измерения температуры тела), тонометром (для измерения АД).</w:t>
      </w:r>
    </w:p>
    <w:p w:rsidR="00000000" w:rsidDel="00000000" w:rsidP="00000000" w:rsidRDefault="00000000" w:rsidRPr="00000000" w14:paraId="000002B8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организованы консультации  администраторами  пациентов у инфоматов</w:t>
      </w:r>
    </w:p>
    <w:p w:rsidR="00000000" w:rsidDel="00000000" w:rsidP="00000000" w:rsidRDefault="00000000" w:rsidRPr="00000000" w14:paraId="000002B9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отделение  помощи на дому укомплектовано врачами терапевтами с укладками для оказания  медицинской помощи. В отделении медицинскую помощь на автотранспорте  оказывает 6 врачей.  В 2017 году было обслужено 27 292 вызова, в 2018 – 31309 вызовов . </w:t>
      </w:r>
    </w:p>
    <w:p w:rsidR="00000000" w:rsidDel="00000000" w:rsidP="00000000" w:rsidRDefault="00000000" w:rsidRPr="00000000" w14:paraId="000002BA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организован прием дежурного врача в часы работы поликлиники. </w:t>
      </w:r>
    </w:p>
    <w:p w:rsidR="00000000" w:rsidDel="00000000" w:rsidP="00000000" w:rsidRDefault="00000000" w:rsidRPr="00000000" w14:paraId="000002BB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врачи-терапевты участковые (врачи общей практики) ведут прием ( без вызовов на дом),  выделено время для патронажа на дому маломобильных и не транспортабельных пациентов</w:t>
      </w:r>
    </w:p>
    <w:p w:rsidR="00000000" w:rsidDel="00000000" w:rsidP="00000000" w:rsidRDefault="00000000" w:rsidRPr="00000000" w14:paraId="000002BC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-организована обратная связь (ящик для сбора жалоб и предложений в холле с возможностью напрямую оставить жалобу в поликлинике), электронная почта ЛПУ.</w:t>
      </w:r>
    </w:p>
    <w:p w:rsidR="00000000" w:rsidDel="00000000" w:rsidP="00000000" w:rsidRDefault="00000000" w:rsidRPr="00000000" w14:paraId="000002BD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2018 году  2 врача-эндокринолога и 1 врач-отоларинголог  получили звание «Московский врач». </w:t>
      </w:r>
    </w:p>
    <w:p w:rsidR="00000000" w:rsidDel="00000000" w:rsidP="00000000" w:rsidRDefault="00000000" w:rsidRPr="00000000" w14:paraId="000002BE">
      <w:pPr>
        <w:shd w:fill="ffffff" w:val="clear"/>
        <w:spacing w:after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29.01.2018 года в ГБУЗ «ГП № 22 ДЗМ» начала работу патронажная служба. В этой службе 2 врача общей практики и 4 медицинские сестры. 1 врач обслуживает 400 пациентов, медицинская сестра - 200 пациентов. </w:t>
      </w:r>
    </w:p>
    <w:p w:rsidR="00000000" w:rsidDel="00000000" w:rsidP="00000000" w:rsidRDefault="00000000" w:rsidRPr="00000000" w14:paraId="000002BF">
      <w:pPr>
        <w:shd w:fill="ffffff" w:val="clear"/>
        <w:spacing w:after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Патронажная служба обеспечивает медицинскую помощь на дому пациентам, которые из-за преклонного возраста, тяжелой травмы или заболевания не могут самостоятельно передвигаться и, соответственно, не могут добраться до поликлиники.</w:t>
      </w:r>
    </w:p>
    <w:p w:rsidR="00000000" w:rsidDel="00000000" w:rsidP="00000000" w:rsidRDefault="00000000" w:rsidRPr="00000000" w14:paraId="000002C0">
      <w:pPr>
        <w:shd w:fill="ffffff" w:val="clear"/>
        <w:spacing w:after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У пациентов патронажной службы есть свой лечащий врач-терапевт, который не ведет прием в поликлинике, а только оказывает помощь на дому. Во время первого посещения врач разрабатывает индивидуальный план лечения для каждого пациента. В нем указываются необходимый объем исследований, а также рекомендуемая частота наблюдения врачом и медицинской сестрой. В среднем врач посещает пациента 8-9 раз в год, медсестра — 12–14 раз. При необходимости каждый пациент может связаться с лечащим врачом или медсестрой по телефону,  номера которых имеются у пациентов в памятке.</w:t>
      </w:r>
    </w:p>
    <w:p w:rsidR="00000000" w:rsidDel="00000000" w:rsidP="00000000" w:rsidRDefault="00000000" w:rsidRPr="00000000" w14:paraId="000002C1">
      <w:pPr>
        <w:shd w:fill="ffffff" w:val="clear"/>
        <w:spacing w:after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В обязанности врача патронажной службы входят проведение осмотров и оценка состояния здоровья пациента. Врачи выписывают лекарства и дают рекомендации по лечению и уходу. Медсестра проводит все необходимые процедуры по назначению лечащего врача: перевязки, инъекции, обработку пролежней, забор крови для лабораторных исследований.</w:t>
      </w:r>
    </w:p>
    <w:p w:rsidR="00000000" w:rsidDel="00000000" w:rsidP="00000000" w:rsidRDefault="00000000" w:rsidRPr="00000000" w14:paraId="000002C2">
      <w:pPr>
        <w:shd w:fill="ffffff" w:val="clear"/>
        <w:spacing w:after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C3">
      <w:pPr>
        <w:shd w:fill="ffffff" w:val="clear"/>
        <w:spacing w:after="0" w:line="240" w:lineRule="auto"/>
        <w:ind w:left="0" w:firstLine="0"/>
        <w:contextualSpacing w:val="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hd w:fill="ffffff" w:val="clear"/>
        <w:spacing w:after="0" w:line="240" w:lineRule="auto"/>
        <w:ind w:left="0" w:firstLine="0"/>
        <w:contextualSpacing w:val="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shd w:fill="ffffff" w:val="clear"/>
        <w:spacing w:after="0" w:line="240" w:lineRule="auto"/>
        <w:ind w:left="0" w:firstLine="0"/>
        <w:contextualSpacing w:val="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hd w:fill="ffffff" w:val="clear"/>
        <w:spacing w:after="0" w:line="240" w:lineRule="auto"/>
        <w:ind w:left="0" w:firstLine="0"/>
        <w:contextualSpacing w:val="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2148" w:hanging="360"/>
      </w:pPr>
      <w:rPr/>
    </w:lvl>
    <w:lvl w:ilvl="2">
      <w:start w:val="1"/>
      <w:numFmt w:val="lowerRoman"/>
      <w:lvlText w:val="%3."/>
      <w:lvlJc w:val="right"/>
      <w:pPr>
        <w:ind w:left="2868" w:hanging="180"/>
      </w:pPr>
      <w:rPr/>
    </w:lvl>
    <w:lvl w:ilvl="3">
      <w:start w:val="1"/>
      <w:numFmt w:val="decimal"/>
      <w:lvlText w:val="%4."/>
      <w:lvlJc w:val="left"/>
      <w:pPr>
        <w:ind w:left="3588" w:hanging="360"/>
      </w:pPr>
      <w:rPr/>
    </w:lvl>
    <w:lvl w:ilvl="4">
      <w:start w:val="1"/>
      <w:numFmt w:val="lowerLetter"/>
      <w:lvlText w:val="%5."/>
      <w:lvlJc w:val="left"/>
      <w:pPr>
        <w:ind w:left="4308" w:hanging="360"/>
      </w:pPr>
      <w:rPr/>
    </w:lvl>
    <w:lvl w:ilvl="5">
      <w:start w:val="1"/>
      <w:numFmt w:val="lowerRoman"/>
      <w:lvlText w:val="%6."/>
      <w:lvlJc w:val="right"/>
      <w:pPr>
        <w:ind w:left="5028" w:hanging="180"/>
      </w:pPr>
      <w:rPr/>
    </w:lvl>
    <w:lvl w:ilvl="6">
      <w:start w:val="1"/>
      <w:numFmt w:val="decimal"/>
      <w:lvlText w:val="%7."/>
      <w:lvlJc w:val="left"/>
      <w:pPr>
        <w:ind w:left="5748" w:hanging="360"/>
      </w:pPr>
      <w:rPr/>
    </w:lvl>
    <w:lvl w:ilvl="7">
      <w:start w:val="1"/>
      <w:numFmt w:val="lowerLetter"/>
      <w:lvlText w:val="%8."/>
      <w:lvlJc w:val="left"/>
      <w:pPr>
        <w:ind w:left="6468" w:hanging="360"/>
      </w:pPr>
      <w:rPr/>
    </w:lvl>
    <w:lvl w:ilvl="8">
      <w:start w:val="1"/>
      <w:numFmt w:val="lowerRoman"/>
      <w:lvlText w:val="%9."/>
      <w:lvlJc w:val="right"/>
      <w:pPr>
        <w:ind w:left="7188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32" w:hanging="432"/>
      </w:pPr>
      <w:rPr/>
    </w:lvl>
    <w:lvl w:ilvl="1">
      <w:start w:val="2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440" w:hanging="720"/>
      </w:pPr>
      <w:rPr/>
    </w:lvl>
    <w:lvl w:ilvl="3">
      <w:start w:val="1"/>
      <w:numFmt w:val="decimal"/>
      <w:lvlText w:val="%1.%2.%3.%4."/>
      <w:lvlJc w:val="left"/>
      <w:pPr>
        <w:ind w:left="2160" w:hanging="1080"/>
      </w:pPr>
      <w:rPr/>
    </w:lvl>
    <w:lvl w:ilvl="4">
      <w:start w:val="1"/>
      <w:numFmt w:val="decimal"/>
      <w:lvlText w:val="%1.%2.%3.%4.%5."/>
      <w:lvlJc w:val="left"/>
      <w:pPr>
        <w:ind w:left="2520" w:hanging="1080"/>
      </w:pPr>
      <w:rPr/>
    </w:lvl>
    <w:lvl w:ilvl="5">
      <w:start w:val="1"/>
      <w:numFmt w:val="decimal"/>
      <w:lvlText w:val="%1.%2.%3.%4.%5.%6."/>
      <w:lvlJc w:val="left"/>
      <w:pPr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ind w:left="3960" w:hanging="1800"/>
      </w:pPr>
      <w:rPr/>
    </w:lvl>
    <w:lvl w:ilvl="7">
      <w:start w:val="1"/>
      <w:numFmt w:val="decimal"/>
      <w:lvlText w:val="%1.%2.%3.%4.%5.%6.%7.%8."/>
      <w:lvlJc w:val="left"/>
      <w:pPr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ind w:left="504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F6702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F67022"/>
    <w:rPr>
      <w:rFonts w:ascii="Tahoma" w:cs="Tahoma" w:hAnsi="Tahoma"/>
      <w:sz w:val="16"/>
      <w:szCs w:val="16"/>
    </w:rPr>
  </w:style>
  <w:style w:type="character" w:styleId="a5">
    <w:name w:val="Hyperlink"/>
    <w:basedOn w:val="a0"/>
    <w:uiPriority w:val="99"/>
    <w:semiHidden w:val="1"/>
    <w:unhideWhenUsed w:val="1"/>
    <w:rsid w:val="00C43F8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 w:val="1"/>
    <w:unhideWhenUsed w:val="1"/>
    <w:rsid w:val="00C43F8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 w:val="1"/>
    <w:rsid w:val="00C43F82"/>
    <w:pPr>
      <w:ind w:left="720"/>
      <w:contextualSpacing w:val="1"/>
    </w:pPr>
  </w:style>
  <w:style w:type="table" w:styleId="a8">
    <w:name w:val="Table Grid"/>
    <w:basedOn w:val="a1"/>
    <w:uiPriority w:val="59"/>
    <w:rsid w:val="00C43F8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5.0" w:type="dxa"/>
        <w:bottom w:w="0.0" w:type="dxa"/>
        <w:right w:w="7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5.0" w:type="dxa"/>
        <w:bottom w:w="0.0" w:type="dxa"/>
        <w:right w:w="7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5.0" w:type="dxa"/>
        <w:bottom w:w="0.0" w:type="dxa"/>
        <w:right w:w="7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5.0" w:type="dxa"/>
        <w:bottom w:w="0.0" w:type="dxa"/>
        <w:right w:w="7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5.0" w:type="dxa"/>
        <w:bottom w:w="0.0" w:type="dxa"/>
        <w:right w:w="7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5.0" w:type="dxa"/>
        <w:bottom w:w="0.0" w:type="dxa"/>
        <w:right w:w="7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5.0" w:type="dxa"/>
        <w:bottom w:w="0.0" w:type="dxa"/>
        <w:right w:w="7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5.0" w:type="dxa"/>
        <w:bottom w:w="0.0" w:type="dxa"/>
        <w:right w:w="7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5.0" w:type="dxa"/>
        <w:bottom w:w="0.0" w:type="dxa"/>
        <w:right w:w="7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5.0" w:type="dxa"/>
        <w:bottom w:w="0.0" w:type="dxa"/>
        <w:right w:w="7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5.0" w:type="dxa"/>
        <w:bottom w:w="0.0" w:type="dxa"/>
        <w:right w:w="7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gp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